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2" w:rsidRDefault="00D66982">
      <w:pPr>
        <w:jc w:val="center"/>
        <w:rPr>
          <w:b/>
          <w:sz w:val="36"/>
        </w:rPr>
      </w:pPr>
      <w:r>
        <w:rPr>
          <w:b/>
          <w:sz w:val="36"/>
        </w:rPr>
        <w:t xml:space="preserve">Board 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County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</w:rPr>
            <w:t>Commissioners</w:t>
          </w:r>
        </w:smartTag>
      </w:smartTag>
    </w:p>
    <w:p w:rsidR="00D66982" w:rsidRDefault="00BE216D">
      <w:pPr>
        <w:jc w:val="center"/>
      </w:pPr>
      <w:r>
        <w:rPr>
          <w:b/>
          <w:sz w:val="28"/>
        </w:rPr>
        <w:t>Workshop</w:t>
      </w:r>
    </w:p>
    <w:p w:rsidR="00D66982" w:rsidRDefault="00D66982"/>
    <w:tbl>
      <w:tblPr>
        <w:tblW w:w="9360" w:type="dxa"/>
        <w:tblInd w:w="120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1979"/>
        <w:gridCol w:w="7381"/>
      </w:tblGrid>
      <w:tr w:rsidR="00D66982" w:rsidTr="001075E9">
        <w:trPr>
          <w:trHeight w:val="432"/>
        </w:trPr>
        <w:tc>
          <w:tcPr>
            <w:tcW w:w="1979" w:type="dxa"/>
          </w:tcPr>
          <w:p w:rsidR="00D66982" w:rsidRDefault="00D66982">
            <w:pPr>
              <w:spacing w:after="58"/>
            </w:pPr>
            <w:r>
              <w:t>Date of Meeting:</w:t>
            </w:r>
          </w:p>
        </w:tc>
        <w:tc>
          <w:tcPr>
            <w:tcW w:w="7381" w:type="dxa"/>
          </w:tcPr>
          <w:p w:rsidR="00D66982" w:rsidRDefault="00887AFD" w:rsidP="00FD36B0">
            <w:pPr>
              <w:spacing w:after="58"/>
            </w:pPr>
            <w:r>
              <w:t xml:space="preserve">June </w:t>
            </w:r>
            <w:r w:rsidR="00106B21">
              <w:t>13</w:t>
            </w:r>
            <w:r w:rsidR="00B936F8">
              <w:t>, 20</w:t>
            </w:r>
            <w:r w:rsidR="006E5F54">
              <w:t>1</w:t>
            </w:r>
            <w:r w:rsidR="00E74ACC">
              <w:t>3</w:t>
            </w:r>
          </w:p>
        </w:tc>
      </w:tr>
      <w:tr w:rsidR="00D66982" w:rsidTr="001075E9">
        <w:trPr>
          <w:trHeight w:hRule="exact" w:val="187"/>
        </w:trPr>
        <w:tc>
          <w:tcPr>
            <w:tcW w:w="1979" w:type="dxa"/>
          </w:tcPr>
          <w:p w:rsidR="00D66982" w:rsidRDefault="00D66982">
            <w:pPr>
              <w:spacing w:line="120" w:lineRule="exact"/>
            </w:pPr>
          </w:p>
        </w:tc>
        <w:tc>
          <w:tcPr>
            <w:tcW w:w="7381" w:type="dxa"/>
          </w:tcPr>
          <w:p w:rsidR="00D66982" w:rsidRDefault="00D66982">
            <w:pPr>
              <w:spacing w:after="58"/>
            </w:pPr>
          </w:p>
        </w:tc>
      </w:tr>
      <w:tr w:rsidR="00D66982" w:rsidTr="001075E9">
        <w:trPr>
          <w:trHeight w:val="432"/>
        </w:trPr>
        <w:tc>
          <w:tcPr>
            <w:tcW w:w="1979" w:type="dxa"/>
          </w:tcPr>
          <w:p w:rsidR="00D66982" w:rsidRDefault="00D66982">
            <w:pPr>
              <w:spacing w:after="58"/>
            </w:pPr>
            <w:r>
              <w:t>Date Submitted:</w:t>
            </w:r>
          </w:p>
        </w:tc>
        <w:tc>
          <w:tcPr>
            <w:tcW w:w="7381" w:type="dxa"/>
          </w:tcPr>
          <w:p w:rsidR="00D66982" w:rsidRDefault="00E74ACC" w:rsidP="00FD36B0">
            <w:pPr>
              <w:spacing w:after="58"/>
            </w:pPr>
            <w:r>
              <w:t>June 5</w:t>
            </w:r>
            <w:r w:rsidR="00887AFD">
              <w:t xml:space="preserve">, </w:t>
            </w:r>
            <w:r w:rsidR="00B936F8">
              <w:t>20</w:t>
            </w:r>
            <w:r w:rsidR="006E5F54">
              <w:t>1</w:t>
            </w:r>
            <w:r>
              <w:t>3</w:t>
            </w:r>
          </w:p>
        </w:tc>
      </w:tr>
      <w:tr w:rsidR="00D66982" w:rsidTr="001075E9">
        <w:trPr>
          <w:trHeight w:hRule="exact" w:val="189"/>
        </w:trPr>
        <w:tc>
          <w:tcPr>
            <w:tcW w:w="1979" w:type="dxa"/>
          </w:tcPr>
          <w:p w:rsidR="00D66982" w:rsidRDefault="00D66982">
            <w:pPr>
              <w:spacing w:line="120" w:lineRule="exact"/>
            </w:pPr>
          </w:p>
        </w:tc>
        <w:tc>
          <w:tcPr>
            <w:tcW w:w="7381" w:type="dxa"/>
          </w:tcPr>
          <w:p w:rsidR="00D66982" w:rsidRDefault="00D66982">
            <w:pPr>
              <w:spacing w:line="120" w:lineRule="exact"/>
            </w:pPr>
          </w:p>
        </w:tc>
      </w:tr>
      <w:tr w:rsidR="00D66982" w:rsidTr="001075E9">
        <w:trPr>
          <w:trHeight w:val="432"/>
        </w:trPr>
        <w:tc>
          <w:tcPr>
            <w:tcW w:w="1979" w:type="dxa"/>
          </w:tcPr>
          <w:p w:rsidR="00D66982" w:rsidRDefault="00D66982">
            <w:pPr>
              <w:tabs>
                <w:tab w:val="left" w:pos="-1440"/>
              </w:tabs>
              <w:spacing w:after="58"/>
            </w:pPr>
            <w:r>
              <w:t>To:</w:t>
            </w:r>
            <w:r>
              <w:tab/>
            </w:r>
          </w:p>
        </w:tc>
        <w:tc>
          <w:tcPr>
            <w:tcW w:w="7381" w:type="dxa"/>
          </w:tcPr>
          <w:p w:rsidR="00D66982" w:rsidRDefault="00D66982">
            <w:pPr>
              <w:spacing w:after="58"/>
            </w:pPr>
            <w:r>
              <w:t>Honorable Chairman and Members of the Board</w:t>
            </w:r>
          </w:p>
        </w:tc>
      </w:tr>
      <w:tr w:rsidR="00D66982" w:rsidTr="001075E9">
        <w:trPr>
          <w:trHeight w:hRule="exact" w:val="198"/>
        </w:trPr>
        <w:tc>
          <w:tcPr>
            <w:tcW w:w="1979" w:type="dxa"/>
          </w:tcPr>
          <w:p w:rsidR="00D66982" w:rsidRDefault="00D66982">
            <w:pPr>
              <w:tabs>
                <w:tab w:val="left" w:pos="-1440"/>
              </w:tabs>
              <w:spacing w:after="58"/>
              <w:ind w:left="720" w:hanging="720"/>
            </w:pPr>
          </w:p>
        </w:tc>
        <w:tc>
          <w:tcPr>
            <w:tcW w:w="7381" w:type="dxa"/>
          </w:tcPr>
          <w:p w:rsidR="00D66982" w:rsidRDefault="00D66982">
            <w:pPr>
              <w:spacing w:after="58"/>
            </w:pPr>
          </w:p>
        </w:tc>
      </w:tr>
      <w:tr w:rsidR="00D66982" w:rsidTr="001075E9">
        <w:trPr>
          <w:trHeight w:val="423"/>
        </w:trPr>
        <w:tc>
          <w:tcPr>
            <w:tcW w:w="1979" w:type="dxa"/>
          </w:tcPr>
          <w:p w:rsidR="00D66982" w:rsidRDefault="00D66982">
            <w:pPr>
              <w:tabs>
                <w:tab w:val="left" w:pos="-1440"/>
              </w:tabs>
              <w:spacing w:after="58"/>
              <w:ind w:left="720" w:hanging="720"/>
            </w:pPr>
            <w:r>
              <w:t xml:space="preserve">From: </w:t>
            </w:r>
            <w:r>
              <w:tab/>
            </w:r>
          </w:p>
        </w:tc>
        <w:tc>
          <w:tcPr>
            <w:tcW w:w="7381" w:type="dxa"/>
          </w:tcPr>
          <w:p w:rsidR="00946013" w:rsidRDefault="00946013">
            <w:pPr>
              <w:spacing w:after="58"/>
            </w:pPr>
            <w:r>
              <w:t>J. David Edwards, County Administrator</w:t>
            </w:r>
          </w:p>
          <w:p w:rsidR="001F286A" w:rsidRDefault="00E74ACC">
            <w:pPr>
              <w:spacing w:after="58"/>
            </w:pPr>
            <w:r>
              <w:t>Greg James, Finance Director</w:t>
            </w:r>
          </w:p>
          <w:p w:rsidR="00D66982" w:rsidRDefault="00E74ACC" w:rsidP="00E36A4F">
            <w:pPr>
              <w:spacing w:after="58"/>
            </w:pPr>
            <w:r>
              <w:t>Brandy Price</w:t>
            </w:r>
            <w:r w:rsidR="00670777">
              <w:t>,</w:t>
            </w:r>
            <w:r>
              <w:t xml:space="preserve"> Depu</w:t>
            </w:r>
            <w:r w:rsidR="00EA4E31">
              <w:t>ty Clerk, Budget Coo</w:t>
            </w:r>
            <w:r w:rsidR="00E765F5">
              <w:t>rdinator</w:t>
            </w:r>
            <w:bookmarkStart w:id="0" w:name="_GoBack"/>
            <w:bookmarkEnd w:id="0"/>
            <w:r w:rsidR="003E7A30">
              <w:fldChar w:fldCharType="begin"/>
            </w:r>
            <w:r w:rsidR="00D66982">
              <w:instrText xml:space="preserve"> FILLIN  "Type Department/Group Director's Name and Title"  \* MERGEFORMAT </w:instrText>
            </w:r>
            <w:r w:rsidR="003E7A30">
              <w:fldChar w:fldCharType="end"/>
            </w:r>
          </w:p>
        </w:tc>
      </w:tr>
      <w:tr w:rsidR="00D66982" w:rsidTr="001075E9">
        <w:trPr>
          <w:trHeight w:hRule="exact" w:val="187"/>
        </w:trPr>
        <w:tc>
          <w:tcPr>
            <w:tcW w:w="1979" w:type="dxa"/>
          </w:tcPr>
          <w:p w:rsidR="00D66982" w:rsidRDefault="00D66982">
            <w:pPr>
              <w:spacing w:after="58"/>
            </w:pPr>
          </w:p>
        </w:tc>
        <w:tc>
          <w:tcPr>
            <w:tcW w:w="7381" w:type="dxa"/>
          </w:tcPr>
          <w:p w:rsidR="00D66982" w:rsidRDefault="00D66982">
            <w:pPr>
              <w:spacing w:after="58"/>
            </w:pPr>
          </w:p>
        </w:tc>
      </w:tr>
      <w:tr w:rsidR="00D66982" w:rsidTr="001075E9">
        <w:trPr>
          <w:trHeight w:val="432"/>
        </w:trPr>
        <w:tc>
          <w:tcPr>
            <w:tcW w:w="1979" w:type="dxa"/>
            <w:tcBorders>
              <w:bottom w:val="single" w:sz="4" w:space="0" w:color="auto"/>
            </w:tcBorders>
          </w:tcPr>
          <w:p w:rsidR="00D66982" w:rsidRDefault="00D66982">
            <w:pPr>
              <w:spacing w:after="58"/>
            </w:pPr>
            <w:r>
              <w:t>Subject: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D66982" w:rsidRDefault="00C70C56" w:rsidP="00C70C56">
            <w:pPr>
              <w:widowControl/>
              <w:jc w:val="both"/>
              <w:rPr>
                <w:snapToGrid/>
                <w:szCs w:val="24"/>
              </w:rPr>
            </w:pPr>
            <w:r>
              <w:t xml:space="preserve">Second </w:t>
            </w:r>
            <w:r w:rsidR="00B936F8">
              <w:t xml:space="preserve">Budget </w:t>
            </w:r>
            <w:r>
              <w:t xml:space="preserve">Development </w:t>
            </w:r>
            <w:r w:rsidR="004B5157">
              <w:t xml:space="preserve">Workshop </w:t>
            </w:r>
            <w:r>
              <w:t>for</w:t>
            </w:r>
            <w:r w:rsidR="004B5157">
              <w:t xml:space="preserve"> FY20</w:t>
            </w:r>
            <w:r w:rsidR="006E5F54">
              <w:t>1</w:t>
            </w:r>
            <w:r w:rsidR="00E74ACC">
              <w:t>3</w:t>
            </w:r>
            <w:r w:rsidR="006E5F54">
              <w:t>/</w:t>
            </w:r>
            <w:r w:rsidR="00B936F8">
              <w:t>1</w:t>
            </w:r>
            <w:r w:rsidR="00E74ACC">
              <w:t>4</w:t>
            </w:r>
            <w:r w:rsidR="004B5157">
              <w:t xml:space="preserve"> </w:t>
            </w:r>
          </w:p>
        </w:tc>
      </w:tr>
    </w:tbl>
    <w:p w:rsidR="00D66982" w:rsidRDefault="00D66982">
      <w:pPr>
        <w:jc w:val="both"/>
        <w:sectPr w:rsidR="00D66982">
          <w:head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C70C56" w:rsidRDefault="00C70C56" w:rsidP="00DE1451">
      <w:pPr>
        <w:jc w:val="both"/>
        <w:rPr>
          <w:b/>
          <w:u w:val="single"/>
        </w:rPr>
      </w:pPr>
    </w:p>
    <w:p w:rsidR="00DE1451" w:rsidRDefault="00DE1451" w:rsidP="00DE1451">
      <w:pPr>
        <w:jc w:val="both"/>
      </w:pPr>
      <w:r>
        <w:rPr>
          <w:b/>
          <w:u w:val="single"/>
        </w:rPr>
        <w:t>Statement of Issue:</w:t>
      </w:r>
    </w:p>
    <w:p w:rsidR="00DE1451" w:rsidRDefault="00DE1451" w:rsidP="00DE1451">
      <w:pPr>
        <w:widowControl/>
        <w:jc w:val="both"/>
        <w:rPr>
          <w:snapToGrid/>
          <w:szCs w:val="24"/>
        </w:rPr>
      </w:pPr>
      <w:r>
        <w:rPr>
          <w:snapToGrid/>
          <w:szCs w:val="24"/>
        </w:rPr>
        <w:t xml:space="preserve">This workshop is the </w:t>
      </w:r>
      <w:r w:rsidR="00FD36B0">
        <w:rPr>
          <w:snapToGrid/>
          <w:szCs w:val="24"/>
        </w:rPr>
        <w:t>second of three</w:t>
      </w:r>
      <w:r>
        <w:rPr>
          <w:snapToGrid/>
          <w:szCs w:val="24"/>
        </w:rPr>
        <w:t xml:space="preserve"> scheduled workshop</w:t>
      </w:r>
      <w:r w:rsidR="00E74ACC">
        <w:rPr>
          <w:snapToGrid/>
          <w:szCs w:val="24"/>
        </w:rPr>
        <w:t>s</w:t>
      </w:r>
      <w:r>
        <w:rPr>
          <w:snapToGrid/>
          <w:szCs w:val="24"/>
        </w:rPr>
        <w:t xml:space="preserve"> in the development of the FY201</w:t>
      </w:r>
      <w:r w:rsidR="00E74ACC">
        <w:rPr>
          <w:snapToGrid/>
          <w:szCs w:val="24"/>
        </w:rPr>
        <w:t>3</w:t>
      </w:r>
      <w:r>
        <w:rPr>
          <w:snapToGrid/>
          <w:szCs w:val="24"/>
        </w:rPr>
        <w:t>/1</w:t>
      </w:r>
      <w:r w:rsidR="00E74ACC">
        <w:rPr>
          <w:snapToGrid/>
          <w:szCs w:val="24"/>
        </w:rPr>
        <w:t>4</w:t>
      </w:r>
      <w:r>
        <w:rPr>
          <w:snapToGrid/>
          <w:szCs w:val="24"/>
        </w:rPr>
        <w:t xml:space="preserve"> Budget</w:t>
      </w:r>
      <w:r w:rsidR="00E74ACC">
        <w:rPr>
          <w:snapToGrid/>
          <w:szCs w:val="24"/>
        </w:rPr>
        <w:t xml:space="preserve">. </w:t>
      </w:r>
      <w:r>
        <w:rPr>
          <w:snapToGrid/>
          <w:szCs w:val="24"/>
        </w:rPr>
        <w:t>This workshop is intended to provide the Board with an overview of the Gen</w:t>
      </w:r>
      <w:r w:rsidR="00E74ACC">
        <w:rPr>
          <w:snapToGrid/>
          <w:szCs w:val="24"/>
        </w:rPr>
        <w:t>eral Fund operating budgets</w:t>
      </w:r>
      <w:r w:rsidR="00186F95">
        <w:rPr>
          <w:snapToGrid/>
          <w:szCs w:val="24"/>
        </w:rPr>
        <w:t xml:space="preserve">. </w:t>
      </w:r>
    </w:p>
    <w:p w:rsidR="00DE1451" w:rsidRDefault="00DE1451" w:rsidP="00DE1451">
      <w:pPr>
        <w:jc w:val="both"/>
      </w:pPr>
    </w:p>
    <w:p w:rsidR="00DE1451" w:rsidRDefault="00DE1451" w:rsidP="00DE1451">
      <w:pPr>
        <w:jc w:val="both"/>
      </w:pPr>
      <w:r>
        <w:rPr>
          <w:b/>
          <w:u w:val="single"/>
        </w:rPr>
        <w:t>Background:</w:t>
      </w:r>
    </w:p>
    <w:p w:rsidR="00DE1451" w:rsidRDefault="00E74ACC" w:rsidP="00DE1451">
      <w:pPr>
        <w:jc w:val="both"/>
      </w:pPr>
      <w:r>
        <w:t>On January 22</w:t>
      </w:r>
      <w:r w:rsidR="00DE1451">
        <w:t>, 201</w:t>
      </w:r>
      <w:r>
        <w:t>3</w:t>
      </w:r>
      <w:r w:rsidR="00DE1451" w:rsidRPr="00A37C7F">
        <w:t xml:space="preserve"> </w:t>
      </w:r>
      <w:r w:rsidR="00DE1451">
        <w:t>the FY201</w:t>
      </w:r>
      <w:r>
        <w:t>3</w:t>
      </w:r>
      <w:r w:rsidR="00A14A90">
        <w:t>/</w:t>
      </w:r>
      <w:r w:rsidR="00DE1451">
        <w:t>1</w:t>
      </w:r>
      <w:r>
        <w:t>4</w:t>
      </w:r>
      <w:r w:rsidR="00DE1451">
        <w:t xml:space="preserve"> budget calendar was approved by the Wakulla County Board of County Commissioners.  The following background information briefly recaps the history of Board action to date for the current budget cycle.</w:t>
      </w:r>
    </w:p>
    <w:p w:rsidR="00DE1451" w:rsidRDefault="00DE1451" w:rsidP="00DE1451">
      <w:pPr>
        <w:jc w:val="both"/>
        <w:rPr>
          <w:i/>
          <w:u w:val="single"/>
        </w:rPr>
      </w:pPr>
    </w:p>
    <w:p w:rsidR="00DE1451" w:rsidRDefault="00DE1451" w:rsidP="00DE1451">
      <w:r>
        <w:t xml:space="preserve">On March </w:t>
      </w:r>
      <w:r w:rsidR="00E74ACC">
        <w:t>7</w:t>
      </w:r>
      <w:r>
        <w:t>, 201</w:t>
      </w:r>
      <w:r w:rsidR="00E74ACC">
        <w:t>3</w:t>
      </w:r>
      <w:r>
        <w:t xml:space="preserve">, the Board held the first of </w:t>
      </w:r>
      <w:r w:rsidR="00FD36B0">
        <w:t>three</w:t>
      </w:r>
      <w:r>
        <w:t xml:space="preserve"> scheduled workshops for FY201</w:t>
      </w:r>
      <w:r w:rsidR="00E74ACC">
        <w:t>3</w:t>
      </w:r>
      <w:r w:rsidR="00A14A90">
        <w:t>/</w:t>
      </w:r>
      <w:r>
        <w:t>1</w:t>
      </w:r>
      <w:r w:rsidR="00E74ACC">
        <w:t>4</w:t>
      </w:r>
      <w:r>
        <w:t xml:space="preserve"> budget process.  The following items were presented during the workshop:</w:t>
      </w:r>
    </w:p>
    <w:p w:rsidR="00FD36B0" w:rsidRDefault="00FD36B0" w:rsidP="00FD36B0">
      <w:pPr>
        <w:ind w:left="1080"/>
        <w:jc w:val="both"/>
      </w:pPr>
    </w:p>
    <w:p w:rsidR="00FD36B0" w:rsidRDefault="00E765F5" w:rsidP="00FD36B0">
      <w:pPr>
        <w:numPr>
          <w:ilvl w:val="0"/>
          <w:numId w:val="23"/>
        </w:numPr>
        <w:ind w:left="1440" w:hanging="720"/>
        <w:jc w:val="both"/>
      </w:pPr>
      <w:r>
        <w:t>Budget Calendar</w:t>
      </w:r>
    </w:p>
    <w:p w:rsidR="00E765F5" w:rsidRDefault="00E765F5" w:rsidP="00FD36B0">
      <w:pPr>
        <w:numPr>
          <w:ilvl w:val="0"/>
          <w:numId w:val="23"/>
        </w:numPr>
        <w:ind w:left="1440" w:hanging="720"/>
        <w:jc w:val="both"/>
      </w:pPr>
      <w:r>
        <w:t>Budget Directives</w:t>
      </w:r>
    </w:p>
    <w:p w:rsidR="00E765F5" w:rsidRDefault="00E765F5" w:rsidP="00FD36B0">
      <w:pPr>
        <w:numPr>
          <w:ilvl w:val="0"/>
          <w:numId w:val="23"/>
        </w:numPr>
        <w:ind w:left="1440" w:hanging="720"/>
        <w:jc w:val="both"/>
      </w:pPr>
      <w:r>
        <w:t>5 Year Capital Plan</w:t>
      </w:r>
    </w:p>
    <w:p w:rsidR="00FD36B0" w:rsidRDefault="00E765F5" w:rsidP="00FD36B0">
      <w:pPr>
        <w:numPr>
          <w:ilvl w:val="0"/>
          <w:numId w:val="23"/>
        </w:numPr>
        <w:ind w:left="1440" w:hanging="720"/>
        <w:jc w:val="both"/>
      </w:pPr>
      <w:r>
        <w:t>Legislative Impacts</w:t>
      </w:r>
    </w:p>
    <w:p w:rsidR="00FD36B0" w:rsidRDefault="00E765F5" w:rsidP="00FD36B0">
      <w:pPr>
        <w:numPr>
          <w:ilvl w:val="0"/>
          <w:numId w:val="23"/>
        </w:numPr>
        <w:ind w:left="1440" w:hanging="720"/>
        <w:jc w:val="both"/>
      </w:pPr>
      <w:r>
        <w:t>Financial Overview of Fund Balances (Cash Position)</w:t>
      </w:r>
    </w:p>
    <w:p w:rsidR="00FD36B0" w:rsidRDefault="00E765F5" w:rsidP="00FD36B0">
      <w:pPr>
        <w:numPr>
          <w:ilvl w:val="0"/>
          <w:numId w:val="23"/>
        </w:numPr>
        <w:ind w:left="1440" w:hanging="720"/>
        <w:jc w:val="both"/>
      </w:pPr>
      <w:r>
        <w:t>Review of 8 Key Funds</w:t>
      </w:r>
    </w:p>
    <w:p w:rsidR="00FD36B0" w:rsidRDefault="00E765F5" w:rsidP="00FD36B0">
      <w:pPr>
        <w:numPr>
          <w:ilvl w:val="0"/>
          <w:numId w:val="23"/>
        </w:numPr>
        <w:ind w:left="1440" w:hanging="720"/>
        <w:jc w:val="both"/>
      </w:pPr>
      <w:r>
        <w:t>Review of Long Term Debt</w:t>
      </w:r>
    </w:p>
    <w:p w:rsidR="00E765F5" w:rsidRDefault="00E765F5" w:rsidP="00FD36B0">
      <w:pPr>
        <w:numPr>
          <w:ilvl w:val="0"/>
          <w:numId w:val="23"/>
        </w:numPr>
        <w:ind w:left="1440" w:hanging="720"/>
        <w:jc w:val="both"/>
      </w:pPr>
      <w:r>
        <w:t>Board Priorities</w:t>
      </w:r>
    </w:p>
    <w:p w:rsidR="00DE1451" w:rsidRDefault="00DE1451" w:rsidP="00DE1451">
      <w:pPr>
        <w:jc w:val="both"/>
        <w:rPr>
          <w:b/>
          <w:u w:val="single"/>
        </w:rPr>
      </w:pPr>
    </w:p>
    <w:p w:rsidR="00186F95" w:rsidRDefault="00186F95" w:rsidP="00186F95">
      <w:pPr>
        <w:widowControl/>
        <w:jc w:val="both"/>
        <w:rPr>
          <w:snapToGrid/>
          <w:szCs w:val="24"/>
        </w:rPr>
      </w:pPr>
      <w:r>
        <w:rPr>
          <w:snapToGrid/>
          <w:szCs w:val="24"/>
        </w:rPr>
        <w:t>Following the first workshop the Board held a “Priorities Workshop” on April 1, 2013.</w:t>
      </w:r>
    </w:p>
    <w:p w:rsidR="00186F95" w:rsidRDefault="00186F95" w:rsidP="00DE1451">
      <w:pPr>
        <w:jc w:val="both"/>
        <w:rPr>
          <w:b/>
          <w:u w:val="single"/>
        </w:rPr>
      </w:pPr>
    </w:p>
    <w:p w:rsidR="00DE1451" w:rsidRDefault="00DE1451" w:rsidP="00DE1451">
      <w:pPr>
        <w:jc w:val="both"/>
        <w:rPr>
          <w:b/>
          <w:u w:val="single"/>
        </w:rPr>
      </w:pPr>
      <w:r>
        <w:rPr>
          <w:b/>
          <w:u w:val="single"/>
        </w:rPr>
        <w:t>Analysis:</w:t>
      </w:r>
    </w:p>
    <w:p w:rsidR="00DE1451" w:rsidRDefault="00DE1451" w:rsidP="00DE1451">
      <w:pPr>
        <w:jc w:val="both"/>
      </w:pPr>
      <w:r>
        <w:t>This workshop item will present to the Board the FY201</w:t>
      </w:r>
      <w:r w:rsidR="002B601F">
        <w:t>3</w:t>
      </w:r>
      <w:r w:rsidR="00A14A90">
        <w:t>/</w:t>
      </w:r>
      <w:r>
        <w:t>1</w:t>
      </w:r>
      <w:r w:rsidR="002B601F">
        <w:t>4</w:t>
      </w:r>
      <w:r>
        <w:t xml:space="preserve"> d</w:t>
      </w:r>
      <w:r w:rsidR="002B601F">
        <w:t>raft budget for all County funds</w:t>
      </w:r>
      <w:r>
        <w:t>.  The FY201</w:t>
      </w:r>
      <w:r w:rsidR="002B601F">
        <w:t>3</w:t>
      </w:r>
      <w:r w:rsidR="00A14A90">
        <w:t>/</w:t>
      </w:r>
      <w:r>
        <w:t>1</w:t>
      </w:r>
      <w:r w:rsidR="002B601F">
        <w:t>4</w:t>
      </w:r>
      <w:r>
        <w:t xml:space="preserve"> Tentative Budget is due to the Board July 15</w:t>
      </w:r>
      <w:r w:rsidRPr="00D41E34">
        <w:rPr>
          <w:vertAlign w:val="superscript"/>
        </w:rPr>
        <w:t>th</w:t>
      </w:r>
      <w:r>
        <w:t>. Staff has met with each department and the Constitutionals to discuss their budgets in an effor</w:t>
      </w:r>
      <w:r w:rsidR="002B601F">
        <w:t xml:space="preserve">t to obtain a balanced budget. Although there are still some outstanding issues, the Budget Office has presented you </w:t>
      </w:r>
      <w:r w:rsidR="002B601F">
        <w:lastRenderedPageBreak/>
        <w:t xml:space="preserve">with a balanced budget.  The budget </w:t>
      </w:r>
      <w:r>
        <w:t>numbers presented are not final and are subject to change based on Board consideration of issues addressed in this workshop</w:t>
      </w:r>
      <w:r w:rsidR="002B601F">
        <w:t>, subsequent estimate modifications, and any unanticipated events occurring in the remaining current year budget</w:t>
      </w:r>
      <w:r>
        <w:t>. The analysis section of this workshop item will be broken down by the following:</w:t>
      </w:r>
    </w:p>
    <w:p w:rsidR="00DE1451" w:rsidRDefault="00DE1451" w:rsidP="00DE1451">
      <w:pPr>
        <w:jc w:val="both"/>
      </w:pPr>
    </w:p>
    <w:p w:rsidR="00E544E5" w:rsidRDefault="00DE1451" w:rsidP="00DE1451">
      <w:pPr>
        <w:numPr>
          <w:ilvl w:val="0"/>
          <w:numId w:val="17"/>
        </w:numPr>
        <w:jc w:val="both"/>
      </w:pPr>
      <w:r>
        <w:t xml:space="preserve">Budget Related Developments Since </w:t>
      </w:r>
      <w:r w:rsidR="00E544E5">
        <w:t>1</w:t>
      </w:r>
      <w:r w:rsidR="00E544E5" w:rsidRPr="00E544E5">
        <w:rPr>
          <w:vertAlign w:val="superscript"/>
        </w:rPr>
        <w:t>st</w:t>
      </w:r>
      <w:r w:rsidR="00E544E5">
        <w:t xml:space="preserve"> </w:t>
      </w:r>
      <w:r>
        <w:t>Budget Workshop</w:t>
      </w:r>
    </w:p>
    <w:p w:rsidR="00DE1451" w:rsidRDefault="00DE1451" w:rsidP="00DE1451">
      <w:pPr>
        <w:numPr>
          <w:ilvl w:val="0"/>
          <w:numId w:val="17"/>
        </w:numPr>
        <w:jc w:val="both"/>
      </w:pPr>
      <w:r>
        <w:t>General Fund Revenue Summary and Highlights</w:t>
      </w:r>
    </w:p>
    <w:p w:rsidR="00DE1451" w:rsidRDefault="00DE1451" w:rsidP="00AA62FF">
      <w:pPr>
        <w:numPr>
          <w:ilvl w:val="0"/>
          <w:numId w:val="17"/>
        </w:numPr>
        <w:jc w:val="both"/>
      </w:pPr>
      <w:r>
        <w:t>General Fund Expenditure Summary and Highlights</w:t>
      </w:r>
    </w:p>
    <w:p w:rsidR="00DE1451" w:rsidRDefault="00DE1451" w:rsidP="00DE1451">
      <w:pPr>
        <w:ind w:left="1080"/>
        <w:jc w:val="both"/>
      </w:pPr>
    </w:p>
    <w:p w:rsidR="00C15EB3" w:rsidRDefault="00C15EB3" w:rsidP="00DE1451">
      <w:pPr>
        <w:ind w:left="1080"/>
        <w:jc w:val="both"/>
      </w:pPr>
    </w:p>
    <w:p w:rsidR="00DE1451" w:rsidRPr="00554FA2" w:rsidRDefault="00DE1451" w:rsidP="00DE1451">
      <w:pPr>
        <w:jc w:val="both"/>
        <w:rPr>
          <w:b/>
          <w:u w:val="single"/>
        </w:rPr>
      </w:pPr>
      <w:r>
        <w:rPr>
          <w:b/>
          <w:u w:val="single"/>
        </w:rPr>
        <w:t xml:space="preserve">Budget Related </w:t>
      </w:r>
      <w:r w:rsidRPr="00554FA2">
        <w:rPr>
          <w:b/>
          <w:u w:val="single"/>
        </w:rPr>
        <w:t xml:space="preserve">Developments </w:t>
      </w:r>
      <w:r w:rsidR="00DA0690" w:rsidRPr="00554FA2">
        <w:rPr>
          <w:b/>
          <w:u w:val="single"/>
        </w:rPr>
        <w:t>since</w:t>
      </w:r>
      <w:r w:rsidRPr="00554FA2">
        <w:rPr>
          <w:b/>
          <w:u w:val="single"/>
        </w:rPr>
        <w:t xml:space="preserve"> </w:t>
      </w:r>
      <w:r w:rsidR="002B601F">
        <w:rPr>
          <w:b/>
          <w:u w:val="single"/>
        </w:rPr>
        <w:t>1st</w:t>
      </w:r>
      <w:r w:rsidRPr="00554FA2">
        <w:rPr>
          <w:b/>
          <w:u w:val="single"/>
        </w:rPr>
        <w:t xml:space="preserve"> Budget Workshop</w:t>
      </w:r>
    </w:p>
    <w:p w:rsidR="00DE1451" w:rsidRPr="00823B21" w:rsidRDefault="002B601F" w:rsidP="00DE1451">
      <w:pPr>
        <w:jc w:val="both"/>
        <w:rPr>
          <w:u w:val="single"/>
        </w:rPr>
      </w:pPr>
      <w:r>
        <w:t xml:space="preserve">Following the first </w:t>
      </w:r>
      <w:r w:rsidR="00DE1451">
        <w:t>budget development workshop the Wakulla County Property App</w:t>
      </w:r>
      <w:r w:rsidR="00A067F7">
        <w:t>raiser released the June 1, 2013</w:t>
      </w:r>
      <w:r w:rsidR="00DE1451">
        <w:t xml:space="preserve"> preliminary estimated </w:t>
      </w:r>
      <w:r w:rsidR="00DE1451" w:rsidRPr="00E544E5">
        <w:rPr>
          <w:u w:val="single"/>
        </w:rPr>
        <w:t>gross taxable value</w:t>
      </w:r>
      <w:r w:rsidR="00DE1451">
        <w:t xml:space="preserve"> including new construction based upon fair market value of locally assessed real estate and tangible personal property.  </w:t>
      </w:r>
      <w:r w:rsidR="00DE1451" w:rsidRPr="001F0341">
        <w:t>The June 1</w:t>
      </w:r>
      <w:r w:rsidR="00DE1451" w:rsidRPr="001F0341">
        <w:rPr>
          <w:vertAlign w:val="superscript"/>
        </w:rPr>
        <w:t>st</w:t>
      </w:r>
      <w:r w:rsidR="00A509C5" w:rsidRPr="001F0341">
        <w:t xml:space="preserve"> estimate </w:t>
      </w:r>
      <w:r w:rsidR="00A509C5" w:rsidRPr="00186F95">
        <w:t>(Attachment #1</w:t>
      </w:r>
      <w:r w:rsidR="00DE1451" w:rsidRPr="001F0341">
        <w:t xml:space="preserve">) </w:t>
      </w:r>
      <w:r w:rsidR="000155EC">
        <w:t xml:space="preserve">was </w:t>
      </w:r>
      <w:r w:rsidR="00A067F7">
        <w:t>$1,023,003,677</w:t>
      </w:r>
      <w:r w:rsidR="00656850">
        <w:t>.</w:t>
      </w:r>
      <w:r w:rsidR="00DE1451" w:rsidRPr="001F0341">
        <w:t xml:space="preserve"> Overall</w:t>
      </w:r>
      <w:r w:rsidR="00656850">
        <w:t>,</w:t>
      </w:r>
      <w:r w:rsidR="00DE1451" w:rsidRPr="001F0341">
        <w:t xml:space="preserve"> this is a </w:t>
      </w:r>
      <w:r w:rsidR="00A067F7">
        <w:t>4.57</w:t>
      </w:r>
      <w:r w:rsidR="00DE1451" w:rsidRPr="001F0341">
        <w:t>% decrease below FY</w:t>
      </w:r>
      <w:r w:rsidR="00A14A90">
        <w:t>20</w:t>
      </w:r>
      <w:r w:rsidR="00A067F7">
        <w:t>12</w:t>
      </w:r>
      <w:r w:rsidR="00A14A90">
        <w:t>/</w:t>
      </w:r>
      <w:r w:rsidR="00A067F7">
        <w:t>13</w:t>
      </w:r>
      <w:r w:rsidR="00DE1451" w:rsidRPr="001F0341">
        <w:t xml:space="preserve"> </w:t>
      </w:r>
      <w:r w:rsidR="00107C4D">
        <w:t xml:space="preserve">gross </w:t>
      </w:r>
      <w:r w:rsidR="00DE1451" w:rsidRPr="001F0341">
        <w:t>taxable value.</w:t>
      </w:r>
      <w:r w:rsidR="00DE1451">
        <w:t xml:space="preserve">  </w:t>
      </w:r>
      <w:r w:rsidR="00656850">
        <w:t xml:space="preserve">Based </w:t>
      </w:r>
      <w:r w:rsidR="00C15EB3">
        <w:t>on this estimate, maintaining a</w:t>
      </w:r>
      <w:r w:rsidR="00656850">
        <w:t xml:space="preserve"> millage rate of 8.</w:t>
      </w:r>
      <w:r w:rsidR="00545F10">
        <w:t>50</w:t>
      </w:r>
      <w:r w:rsidR="00656850">
        <w:t>00 will generate</w:t>
      </w:r>
      <w:r w:rsidR="00A067F7">
        <w:t xml:space="preserve"> $8,260,755</w:t>
      </w:r>
      <w:r w:rsidR="00656850">
        <w:t xml:space="preserve"> a </w:t>
      </w:r>
      <w:r w:rsidR="00823B21">
        <w:t>reduction</w:t>
      </w:r>
      <w:r w:rsidR="00DE1451">
        <w:t xml:space="preserve"> in ad </w:t>
      </w:r>
      <w:r w:rsidR="00DE1451" w:rsidRPr="00823B21">
        <w:t>valorem</w:t>
      </w:r>
      <w:r w:rsidR="001A3FE8" w:rsidRPr="00823B21">
        <w:t xml:space="preserve"> </w:t>
      </w:r>
      <w:r w:rsidR="00656850" w:rsidRPr="00823B21">
        <w:t>of (</w:t>
      </w:r>
      <w:r w:rsidR="00DE1451" w:rsidRPr="00823B21">
        <w:t>$</w:t>
      </w:r>
      <w:r w:rsidR="00A067F7">
        <w:t>312,499</w:t>
      </w:r>
      <w:r w:rsidR="00656850" w:rsidRPr="00823B21">
        <w:t>)</w:t>
      </w:r>
      <w:r w:rsidR="00823B21">
        <w:t xml:space="preserve"> from the previous year</w:t>
      </w:r>
      <w:r w:rsidR="00823B21" w:rsidRPr="00823B21">
        <w:rPr>
          <w:i/>
        </w:rPr>
        <w:t>.</w:t>
      </w:r>
      <w:r w:rsidR="00DE1451" w:rsidRPr="00823B21">
        <w:rPr>
          <w:u w:val="single"/>
        </w:rPr>
        <w:t xml:space="preserve">  </w:t>
      </w:r>
    </w:p>
    <w:p w:rsidR="001A3FE8" w:rsidRDefault="001A3FE8" w:rsidP="00DE1451">
      <w:pPr>
        <w:jc w:val="both"/>
        <w:rPr>
          <w:u w:val="single"/>
        </w:rPr>
      </w:pPr>
    </w:p>
    <w:p w:rsidR="00DE1451" w:rsidRPr="00875022" w:rsidRDefault="00DE1451" w:rsidP="00DE1451">
      <w:pPr>
        <w:jc w:val="both"/>
        <w:rPr>
          <w:u w:val="single"/>
        </w:rPr>
      </w:pPr>
      <w:r w:rsidRPr="00875022">
        <w:rPr>
          <w:u w:val="single"/>
        </w:rPr>
        <w:t>Audit</w:t>
      </w:r>
      <w:r w:rsidR="00107C4D">
        <w:rPr>
          <w:u w:val="single"/>
        </w:rPr>
        <w:t xml:space="preserve"> Report</w:t>
      </w:r>
    </w:p>
    <w:p w:rsidR="00DE1451" w:rsidRDefault="00A067F7" w:rsidP="00DE1451">
      <w:pPr>
        <w:jc w:val="both"/>
      </w:pPr>
      <w:r>
        <w:t>On May 20</w:t>
      </w:r>
      <w:r w:rsidRPr="00A067F7">
        <w:rPr>
          <w:vertAlign w:val="superscript"/>
        </w:rPr>
        <w:t>th</w:t>
      </w:r>
      <w:r>
        <w:t>, 2013</w:t>
      </w:r>
      <w:r w:rsidR="00EE0611">
        <w:t>,</w:t>
      </w:r>
      <w:r w:rsidR="00DE1451">
        <w:t xml:space="preserve"> County Auditor, Powell and Jones </w:t>
      </w:r>
      <w:r>
        <w:t>presented a review of the FY2011</w:t>
      </w:r>
      <w:r w:rsidR="00A14A90">
        <w:t>/</w:t>
      </w:r>
      <w:r>
        <w:t>12</w:t>
      </w:r>
      <w:r w:rsidR="00823B21">
        <w:t xml:space="preserve"> audit</w:t>
      </w:r>
      <w:r w:rsidR="00DE1451">
        <w:t xml:space="preserve">.  </w:t>
      </w:r>
      <w:r w:rsidR="00823B21">
        <w:t>The audit report indicated the County had made significant progress towards achieving a more financially stable fund balance.</w:t>
      </w:r>
      <w:r w:rsidR="00962101">
        <w:t xml:space="preserve"> </w:t>
      </w:r>
      <w:r>
        <w:t>Despite the progress made, the County’s fund balances still fall short of the County’s Fund Balance policy and recommended levels.</w:t>
      </w:r>
    </w:p>
    <w:p w:rsidR="00C15EB3" w:rsidRDefault="00C15EB3" w:rsidP="00DE1451">
      <w:pPr>
        <w:jc w:val="both"/>
        <w:rPr>
          <w:b/>
          <w:u w:val="single"/>
        </w:rPr>
      </w:pPr>
    </w:p>
    <w:p w:rsidR="00DE1451" w:rsidRPr="00A067F7" w:rsidRDefault="00DE1451" w:rsidP="00DE1451">
      <w:pPr>
        <w:jc w:val="both"/>
        <w:rPr>
          <w:b/>
          <w:u w:val="single"/>
        </w:rPr>
      </w:pPr>
      <w:r>
        <w:rPr>
          <w:b/>
          <w:u w:val="single"/>
        </w:rPr>
        <w:t>General Fund Revenue Summary</w:t>
      </w:r>
      <w:r w:rsidR="00656850">
        <w:rPr>
          <w:b/>
          <w:u w:val="single"/>
        </w:rPr>
        <w:t xml:space="preserve"> and Highlights</w:t>
      </w:r>
    </w:p>
    <w:p w:rsidR="00A067F7" w:rsidRDefault="00186F95" w:rsidP="00DE1451">
      <w:pPr>
        <w:jc w:val="both"/>
      </w:pPr>
      <w:r>
        <w:t>A summary of the revenues and expenses of the General Fund by account category can be found in Attachment #2. Overall, the General Fund Budget is estimated to increase 3.9% over the previous year. The highlights of this overall increase are summarized below:</w:t>
      </w:r>
    </w:p>
    <w:p w:rsidR="00186F95" w:rsidRPr="00186F95" w:rsidRDefault="00186F95" w:rsidP="00DE1451">
      <w:pPr>
        <w:jc w:val="both"/>
      </w:pPr>
    </w:p>
    <w:p w:rsidR="00DE1451" w:rsidRPr="00165933" w:rsidRDefault="00DE1451" w:rsidP="00DE1451">
      <w:pPr>
        <w:jc w:val="both"/>
        <w:rPr>
          <w:i/>
          <w:u w:val="single"/>
        </w:rPr>
      </w:pPr>
      <w:r>
        <w:rPr>
          <w:i/>
          <w:u w:val="single"/>
        </w:rPr>
        <w:t>Ad V</w:t>
      </w:r>
      <w:r w:rsidRPr="00165933">
        <w:rPr>
          <w:i/>
          <w:u w:val="single"/>
        </w:rPr>
        <w:t>alorem:</w:t>
      </w:r>
    </w:p>
    <w:p w:rsidR="00DE1451" w:rsidRDefault="00DE1451" w:rsidP="00DE1451">
      <w:pPr>
        <w:jc w:val="both"/>
      </w:pPr>
      <w:r>
        <w:t>The total decrease in estimate</w:t>
      </w:r>
      <w:r w:rsidR="00575AF5">
        <w:t xml:space="preserve"> ad valorem</w:t>
      </w:r>
      <w:r w:rsidR="008E257F">
        <w:t xml:space="preserve"> revenue from FY201</w:t>
      </w:r>
      <w:r w:rsidR="00575AF5">
        <w:t>2</w:t>
      </w:r>
      <w:r w:rsidR="00A14A90">
        <w:t>/</w:t>
      </w:r>
      <w:r w:rsidR="008E257F">
        <w:t>1</w:t>
      </w:r>
      <w:r w:rsidR="00575AF5">
        <w:t>3</w:t>
      </w:r>
      <w:r>
        <w:t xml:space="preserve"> to FY201</w:t>
      </w:r>
      <w:r w:rsidR="00575AF5">
        <w:t>3</w:t>
      </w:r>
      <w:r w:rsidR="00A14A90">
        <w:t>/</w:t>
      </w:r>
      <w:r>
        <w:t>1</w:t>
      </w:r>
      <w:r w:rsidR="00575AF5">
        <w:t>4</w:t>
      </w:r>
      <w:r>
        <w:t xml:space="preserve"> is projected to be </w:t>
      </w:r>
      <w:r w:rsidR="00575AF5">
        <w:t>4.57</w:t>
      </w:r>
      <w:r>
        <w:t>% based on a millage rate of 8.5</w:t>
      </w:r>
      <w:r w:rsidR="00145A85">
        <w:t>0</w:t>
      </w:r>
      <w:r>
        <w:t xml:space="preserve">00 mills.  This is the largest </w:t>
      </w:r>
      <w:r w:rsidR="00575AF5">
        <w:t xml:space="preserve">single </w:t>
      </w:r>
      <w:r>
        <w:t xml:space="preserve">revenue in the General Fund and equates to a total decrease in ad valorem revenue of </w:t>
      </w:r>
      <w:r w:rsidRPr="00EE0611">
        <w:t>($</w:t>
      </w:r>
      <w:r w:rsidR="00575AF5">
        <w:t>312,499</w:t>
      </w:r>
      <w:r w:rsidRPr="00EE0611">
        <w:t xml:space="preserve">).  </w:t>
      </w:r>
    </w:p>
    <w:p w:rsidR="005D2CC4" w:rsidRDefault="005D2CC4" w:rsidP="00DE1451">
      <w:pPr>
        <w:jc w:val="both"/>
      </w:pPr>
    </w:p>
    <w:p w:rsidR="005D2CC4" w:rsidRPr="005D2CC4" w:rsidRDefault="005D2CC4" w:rsidP="00DE1451">
      <w:pPr>
        <w:jc w:val="both"/>
        <w:rPr>
          <w:i/>
          <w:u w:val="single"/>
        </w:rPr>
      </w:pPr>
      <w:r w:rsidRPr="005D2CC4">
        <w:rPr>
          <w:i/>
          <w:u w:val="single"/>
        </w:rPr>
        <w:t>Local Utility Taxes:</w:t>
      </w:r>
    </w:p>
    <w:p w:rsidR="005D2CC4" w:rsidRPr="00EE0611" w:rsidRDefault="005D2CC4" w:rsidP="00DE1451">
      <w:pPr>
        <w:jc w:val="both"/>
      </w:pPr>
      <w:r>
        <w:t xml:space="preserve">We are anticipating a 7% increase, or $129,674, in the Public Service and Communication Service taxes. </w:t>
      </w:r>
      <w:r w:rsidR="00C921A7">
        <w:t>This estimate may be adjusted as the current year revenues are collected and reviewed.</w:t>
      </w:r>
    </w:p>
    <w:p w:rsidR="00DE1451" w:rsidRDefault="00DE1451" w:rsidP="00DE1451">
      <w:pPr>
        <w:jc w:val="both"/>
        <w:rPr>
          <w:i/>
          <w:u w:val="single"/>
        </w:rPr>
      </w:pPr>
    </w:p>
    <w:p w:rsidR="00DE1451" w:rsidRPr="00875022" w:rsidRDefault="00DE1451" w:rsidP="00DE1451">
      <w:pPr>
        <w:jc w:val="both"/>
        <w:rPr>
          <w:i/>
          <w:u w:val="single"/>
        </w:rPr>
      </w:pPr>
      <w:r w:rsidRPr="00875022">
        <w:rPr>
          <w:i/>
          <w:u w:val="single"/>
        </w:rPr>
        <w:t>Appropriated Cash Forward</w:t>
      </w:r>
    </w:p>
    <w:p w:rsidR="00DE1451" w:rsidRDefault="00B81941" w:rsidP="00DE1451">
      <w:pPr>
        <w:jc w:val="both"/>
      </w:pPr>
      <w:r>
        <w:t xml:space="preserve">There is </w:t>
      </w:r>
      <w:r w:rsidR="00575AF5">
        <w:t>$252,073 in</w:t>
      </w:r>
      <w:r>
        <w:t xml:space="preserve"> cash forward appropriated in this budget.  </w:t>
      </w:r>
      <w:r w:rsidR="00575AF5">
        <w:t xml:space="preserve">Of this total, $74,073 is for the Building Dept, $60,000 is from the State Library Grant, and $100,000 is from the General Fund Reserve for contamination cleanup and $18,000 is from the Extension Office reserve for air </w:t>
      </w:r>
      <w:r w:rsidR="00575AF5">
        <w:lastRenderedPageBreak/>
        <w:t xml:space="preserve">conditioner replacement. </w:t>
      </w:r>
      <w:r>
        <w:t xml:space="preserve">The reserves have been budgeted at a total </w:t>
      </w:r>
      <w:r w:rsidR="00575AF5">
        <w:t xml:space="preserve">of </w:t>
      </w:r>
      <w:r>
        <w:t>$</w:t>
      </w:r>
      <w:r w:rsidR="00575AF5">
        <w:t>293,681</w:t>
      </w:r>
      <w:r>
        <w:t>.  Therefore, if all anticipated revenue is received i</w:t>
      </w:r>
      <w:r w:rsidR="00575AF5">
        <w:t>n the next fiscal year, the General Fund Reserves should increase by $193,681 ($293k - $100k).</w:t>
      </w:r>
      <w:r>
        <w:t xml:space="preserve">  </w:t>
      </w:r>
    </w:p>
    <w:p w:rsidR="00B81941" w:rsidRDefault="00B81941" w:rsidP="00DE1451">
      <w:pPr>
        <w:jc w:val="both"/>
      </w:pPr>
    </w:p>
    <w:p w:rsidR="00DE1451" w:rsidRDefault="00DE1451" w:rsidP="00DE1451">
      <w:pPr>
        <w:jc w:val="both"/>
        <w:rPr>
          <w:i/>
          <w:u w:val="single"/>
        </w:rPr>
      </w:pPr>
      <w:r w:rsidRPr="00875022">
        <w:rPr>
          <w:i/>
          <w:u w:val="single"/>
        </w:rPr>
        <w:t>Jail Bed Revenue</w:t>
      </w:r>
    </w:p>
    <w:p w:rsidR="00DE1451" w:rsidRDefault="00B51499" w:rsidP="00DE1451">
      <w:pPr>
        <w:jc w:val="both"/>
      </w:pPr>
      <w:r>
        <w:t>Upon recommendati</w:t>
      </w:r>
      <w:r w:rsidR="00575AF5">
        <w:t xml:space="preserve">on from the Sheriff’s </w:t>
      </w:r>
      <w:r>
        <w:t xml:space="preserve">Office, the </w:t>
      </w:r>
      <w:r w:rsidR="005D2CC4">
        <w:t xml:space="preserve">agreement with Immigration &amp; Customs Enforcement (ICE) that generates most of the </w:t>
      </w:r>
      <w:r>
        <w:t>revenue from housing prison</w:t>
      </w:r>
      <w:r w:rsidR="00575AF5">
        <w:t>er</w:t>
      </w:r>
      <w:r w:rsidR="005D2CC4">
        <w:t>s is being reviewed</w:t>
      </w:r>
      <w:r w:rsidR="00A959AB">
        <w:t>.</w:t>
      </w:r>
      <w:r w:rsidR="005D2CC4">
        <w:t xml:space="preserve"> There is a proposal to “lock-in” a guaranteed revenue stream for the next five years. </w:t>
      </w:r>
      <w:r w:rsidR="00DE1451">
        <w:t xml:space="preserve"> </w:t>
      </w:r>
      <w:r w:rsidR="00C921A7">
        <w:t>The current estimate is $2,700,000 per year which will be approximately $300,000 more than the current year estimate.</w:t>
      </w:r>
    </w:p>
    <w:p w:rsidR="00DE1451" w:rsidRDefault="00DE1451" w:rsidP="00DE1451">
      <w:pPr>
        <w:jc w:val="both"/>
      </w:pPr>
    </w:p>
    <w:p w:rsidR="008E257F" w:rsidRDefault="008E257F" w:rsidP="008E257F">
      <w:pPr>
        <w:jc w:val="both"/>
      </w:pPr>
      <w:r w:rsidRPr="00DC147E">
        <w:rPr>
          <w:i/>
          <w:u w:val="single"/>
        </w:rPr>
        <w:t xml:space="preserve">State Revenue </w:t>
      </w:r>
    </w:p>
    <w:p w:rsidR="00C15EB3" w:rsidRDefault="00185056" w:rsidP="00C15EB3">
      <w:pPr>
        <w:jc w:val="both"/>
      </w:pPr>
      <w:r>
        <w:t xml:space="preserve">All the </w:t>
      </w:r>
      <w:r w:rsidR="008E257F">
        <w:t>state revenue estimates have not been made public at this time by the Office of Economic and Demographic Research (EDR).  It is anticipated that there will be a</w:t>
      </w:r>
      <w:r w:rsidR="00076CAB">
        <w:t>n</w:t>
      </w:r>
      <w:r w:rsidR="008E257F">
        <w:t xml:space="preserve"> </w:t>
      </w:r>
      <w:r w:rsidR="00076CAB">
        <w:t xml:space="preserve">increase </w:t>
      </w:r>
      <w:r w:rsidR="008E257F">
        <w:t>in all the state revenue for FY201</w:t>
      </w:r>
      <w:r w:rsidR="005D2CC4">
        <w:t>3</w:t>
      </w:r>
      <w:r w:rsidR="008E257F">
        <w:t>/201</w:t>
      </w:r>
      <w:r w:rsidR="005D2CC4">
        <w:t>4 but the estimates will not be released until later this month</w:t>
      </w:r>
      <w:r w:rsidR="008E257F">
        <w:t xml:space="preserve">. </w:t>
      </w:r>
      <w:r w:rsidR="005D2CC4">
        <w:t>We currently have an estimated a 2% increase</w:t>
      </w:r>
      <w:r w:rsidR="00C921A7">
        <w:t>, or $80,439</w:t>
      </w:r>
      <w:r w:rsidR="005D2CC4">
        <w:t xml:space="preserve"> in the State Revenue Sharing and Half Cent Sales Tax revenues.</w:t>
      </w:r>
    </w:p>
    <w:p w:rsidR="00DE1451" w:rsidRDefault="00DE1451" w:rsidP="00DE1451">
      <w:pPr>
        <w:ind w:left="1080"/>
        <w:jc w:val="both"/>
      </w:pPr>
    </w:p>
    <w:p w:rsidR="00DE1451" w:rsidRDefault="00DE1451" w:rsidP="00DE1451">
      <w:pPr>
        <w:jc w:val="both"/>
        <w:rPr>
          <w:b/>
          <w:u w:val="single"/>
        </w:rPr>
      </w:pPr>
      <w:r>
        <w:rPr>
          <w:b/>
          <w:u w:val="single"/>
        </w:rPr>
        <w:t>General Fund Expenditure Summary</w:t>
      </w:r>
      <w:r w:rsidR="00656850">
        <w:rPr>
          <w:b/>
          <w:u w:val="single"/>
        </w:rPr>
        <w:t xml:space="preserve"> and Highlights</w:t>
      </w:r>
    </w:p>
    <w:p w:rsidR="00DE1451" w:rsidRDefault="008A4D44" w:rsidP="00DE1451">
      <w:pPr>
        <w:jc w:val="both"/>
      </w:pPr>
      <w:r>
        <w:t>In total, General Fund expendi</w:t>
      </w:r>
      <w:r w:rsidR="00C921A7">
        <w:t>tures have increased by $366,059</w:t>
      </w:r>
      <w:r>
        <w:t xml:space="preserve"> or</w:t>
      </w:r>
      <w:r w:rsidR="00C921A7">
        <w:t xml:space="preserve"> 3.9% for FY2013/14. A summary of these increases/decreases are </w:t>
      </w:r>
      <w:r w:rsidR="006A190C">
        <w:t>listed below</w:t>
      </w:r>
      <w:r w:rsidR="001A6565">
        <w:t xml:space="preserve"> and are also provided in </w:t>
      </w:r>
      <w:r w:rsidR="00186F95">
        <w:t>Attachment #3</w:t>
      </w:r>
      <w:r w:rsidR="001A6565" w:rsidRPr="00186F95">
        <w:t>:</w:t>
      </w:r>
    </w:p>
    <w:p w:rsidR="008601D5" w:rsidRDefault="008601D5" w:rsidP="00DE1451">
      <w:pPr>
        <w:jc w:val="both"/>
        <w:rPr>
          <w:b/>
          <w:u w:val="single"/>
        </w:rPr>
      </w:pPr>
    </w:p>
    <w:p w:rsidR="00DE1451" w:rsidRPr="00ED0A64" w:rsidRDefault="00DE1451" w:rsidP="00DE1451">
      <w:pPr>
        <w:jc w:val="both"/>
        <w:rPr>
          <w:i/>
          <w:u w:val="single"/>
        </w:rPr>
      </w:pPr>
      <w:r w:rsidRPr="00ED0A64">
        <w:rPr>
          <w:i/>
          <w:u w:val="single"/>
        </w:rPr>
        <w:t>Increases</w:t>
      </w:r>
      <w:proofErr w:type="gramStart"/>
      <w:r w:rsidR="001A6565">
        <w:rPr>
          <w:i/>
          <w:u w:val="single"/>
        </w:rPr>
        <w:t>/(</w:t>
      </w:r>
      <w:proofErr w:type="gramEnd"/>
      <w:r w:rsidR="001A6565">
        <w:rPr>
          <w:i/>
          <w:u w:val="single"/>
        </w:rPr>
        <w:t>Decreases:</w:t>
      </w:r>
    </w:p>
    <w:p w:rsidR="005716D6" w:rsidRDefault="001A6565" w:rsidP="00B05CB1">
      <w:pPr>
        <w:numPr>
          <w:ilvl w:val="0"/>
          <w:numId w:val="28"/>
        </w:numPr>
        <w:tabs>
          <w:tab w:val="clear" w:pos="2610"/>
          <w:tab w:val="num" w:pos="720"/>
        </w:tabs>
        <w:ind w:left="720"/>
        <w:jc w:val="both"/>
      </w:pPr>
      <w:r>
        <w:t xml:space="preserve">Net </w:t>
      </w:r>
      <w:r w:rsidR="00775F70">
        <w:t>Personnel Services increase of $292,013.</w:t>
      </w:r>
    </w:p>
    <w:p w:rsidR="00775F70" w:rsidRDefault="00775F70" w:rsidP="00775F70">
      <w:pPr>
        <w:numPr>
          <w:ilvl w:val="1"/>
          <w:numId w:val="28"/>
        </w:numPr>
        <w:jc w:val="both"/>
      </w:pPr>
      <w:r>
        <w:t>Salaries &amp; Wages increase by $91,745 – 3 additional positions: grant co-</w:t>
      </w:r>
      <w:proofErr w:type="spellStart"/>
      <w:r>
        <w:t>ordinator</w:t>
      </w:r>
      <w:proofErr w:type="spellEnd"/>
      <w:r>
        <w:t>; code enforcement officer, and animal control officer.</w:t>
      </w:r>
    </w:p>
    <w:p w:rsidR="00775F70" w:rsidRDefault="00775F70" w:rsidP="00775F70">
      <w:pPr>
        <w:numPr>
          <w:ilvl w:val="1"/>
          <w:numId w:val="28"/>
        </w:numPr>
        <w:jc w:val="both"/>
      </w:pPr>
      <w:r>
        <w:t>Retirement Benefits increase by $108,118 due to changes in the State retirement rates.</w:t>
      </w:r>
    </w:p>
    <w:p w:rsidR="00775F70" w:rsidRDefault="00775F70" w:rsidP="00775F70">
      <w:pPr>
        <w:numPr>
          <w:ilvl w:val="1"/>
          <w:numId w:val="28"/>
        </w:numPr>
        <w:jc w:val="both"/>
      </w:pPr>
      <w:r>
        <w:t>Health Insurance increase by $78,947 – The actual increase has not been released by CHP but we have estimated a 5% increase.</w:t>
      </w:r>
    </w:p>
    <w:p w:rsidR="00775F70" w:rsidRDefault="00775F70" w:rsidP="00775F70">
      <w:pPr>
        <w:numPr>
          <w:ilvl w:val="1"/>
          <w:numId w:val="28"/>
        </w:numPr>
        <w:jc w:val="both"/>
      </w:pPr>
      <w:r>
        <w:t>FICA Tax, Worker’s Compensation and Unemployment Compensation increase by $13,023.</w:t>
      </w:r>
    </w:p>
    <w:p w:rsidR="00775F70" w:rsidRDefault="001A6565" w:rsidP="00775F70">
      <w:pPr>
        <w:numPr>
          <w:ilvl w:val="0"/>
          <w:numId w:val="28"/>
        </w:numPr>
        <w:tabs>
          <w:tab w:val="clear" w:pos="2610"/>
        </w:tabs>
        <w:ind w:left="720"/>
        <w:jc w:val="both"/>
      </w:pPr>
      <w:r>
        <w:t xml:space="preserve">Net </w:t>
      </w:r>
      <w:r w:rsidR="00775F70">
        <w:t>Operating Cost</w:t>
      </w:r>
      <w:r>
        <w:t xml:space="preserve"> de</w:t>
      </w:r>
      <w:r w:rsidR="00775F70">
        <w:t>crease</w:t>
      </w:r>
      <w:r>
        <w:t xml:space="preserve"> of $29,494.</w:t>
      </w:r>
    </w:p>
    <w:p w:rsidR="001A6565" w:rsidRDefault="001A6565" w:rsidP="00775F70">
      <w:pPr>
        <w:numPr>
          <w:ilvl w:val="0"/>
          <w:numId w:val="28"/>
        </w:numPr>
        <w:tabs>
          <w:tab w:val="clear" w:pos="2610"/>
        </w:tabs>
        <w:ind w:left="720"/>
        <w:jc w:val="both"/>
      </w:pPr>
      <w:r>
        <w:t>Operating Equipment increase of $31,004.</w:t>
      </w:r>
    </w:p>
    <w:p w:rsidR="001A6565" w:rsidRDefault="001A6565" w:rsidP="00775F70">
      <w:pPr>
        <w:numPr>
          <w:ilvl w:val="0"/>
          <w:numId w:val="28"/>
        </w:numPr>
        <w:tabs>
          <w:tab w:val="clear" w:pos="2610"/>
        </w:tabs>
        <w:ind w:left="720"/>
        <w:jc w:val="both"/>
      </w:pPr>
      <w:r>
        <w:t>Net Other Costs decrease of $141,753.</w:t>
      </w:r>
    </w:p>
    <w:p w:rsidR="001A6565" w:rsidRDefault="001A6565" w:rsidP="001A6565">
      <w:pPr>
        <w:numPr>
          <w:ilvl w:val="1"/>
          <w:numId w:val="28"/>
        </w:numPr>
        <w:jc w:val="both"/>
      </w:pPr>
      <w:r>
        <w:t>Aid to other Governments and Agencies decrease of $8,159</w:t>
      </w:r>
    </w:p>
    <w:p w:rsidR="001A6565" w:rsidRDefault="001A6565" w:rsidP="001A6565">
      <w:pPr>
        <w:numPr>
          <w:ilvl w:val="1"/>
          <w:numId w:val="28"/>
        </w:numPr>
        <w:jc w:val="both"/>
      </w:pPr>
      <w:r>
        <w:t>Inter-fund Transfers decrease of $133,594</w:t>
      </w:r>
    </w:p>
    <w:p w:rsidR="001A6565" w:rsidRDefault="001A6565" w:rsidP="001A6565">
      <w:pPr>
        <w:numPr>
          <w:ilvl w:val="0"/>
          <w:numId w:val="28"/>
        </w:numPr>
        <w:tabs>
          <w:tab w:val="clear" w:pos="2610"/>
          <w:tab w:val="num" w:pos="720"/>
        </w:tabs>
        <w:ind w:left="720"/>
        <w:jc w:val="both"/>
      </w:pPr>
      <w:r>
        <w:t>Constitutional Officer funding decrease of $100,000</w:t>
      </w:r>
      <w:r w:rsidR="00AA62FF">
        <w:t>.</w:t>
      </w:r>
    </w:p>
    <w:p w:rsidR="00AA62FF" w:rsidRDefault="00AA62FF" w:rsidP="00AA62FF">
      <w:pPr>
        <w:numPr>
          <w:ilvl w:val="1"/>
          <w:numId w:val="28"/>
        </w:numPr>
        <w:jc w:val="both"/>
      </w:pPr>
      <w:r>
        <w:t>The Clerk’s budget remains $545,534.</w:t>
      </w:r>
    </w:p>
    <w:p w:rsidR="00AA62FF" w:rsidRDefault="00AA62FF" w:rsidP="00AA62FF">
      <w:pPr>
        <w:numPr>
          <w:ilvl w:val="1"/>
          <w:numId w:val="28"/>
        </w:numPr>
        <w:jc w:val="both"/>
      </w:pPr>
      <w:r>
        <w:t>The Property Appraiser budget remains $945,644.</w:t>
      </w:r>
    </w:p>
    <w:p w:rsidR="00AA62FF" w:rsidRDefault="00AA62FF" w:rsidP="00AA62FF">
      <w:pPr>
        <w:numPr>
          <w:ilvl w:val="1"/>
          <w:numId w:val="28"/>
        </w:numPr>
        <w:jc w:val="both"/>
      </w:pPr>
      <w:r>
        <w:t>The Sheriff’s budget remains at $10,110,056 with a reduction of $100,000 in their budgeted reserves from $250,000 to $150,000.</w:t>
      </w:r>
    </w:p>
    <w:p w:rsidR="007613F4" w:rsidRDefault="007613F4" w:rsidP="007613F4">
      <w:pPr>
        <w:ind w:left="1800"/>
        <w:jc w:val="both"/>
      </w:pPr>
    </w:p>
    <w:p w:rsidR="00AA62FF" w:rsidRDefault="00AA62FF" w:rsidP="00AA62FF">
      <w:pPr>
        <w:numPr>
          <w:ilvl w:val="1"/>
          <w:numId w:val="28"/>
        </w:numPr>
        <w:jc w:val="both"/>
      </w:pPr>
      <w:r>
        <w:lastRenderedPageBreak/>
        <w:t>The Supervisor of Election’s budget remains $339,703.</w:t>
      </w:r>
    </w:p>
    <w:p w:rsidR="00AA62FF" w:rsidRDefault="00AA62FF" w:rsidP="00AA62FF">
      <w:pPr>
        <w:numPr>
          <w:ilvl w:val="1"/>
          <w:numId w:val="28"/>
        </w:numPr>
        <w:jc w:val="both"/>
      </w:pPr>
      <w:r>
        <w:t>The Tax Collector’s budget remains $673,622.</w:t>
      </w:r>
    </w:p>
    <w:p w:rsidR="00B304CC" w:rsidRDefault="00B304CC" w:rsidP="004D78BC">
      <w:pPr>
        <w:jc w:val="both"/>
        <w:rPr>
          <w:b/>
          <w:u w:val="single"/>
        </w:rPr>
      </w:pPr>
    </w:p>
    <w:p w:rsidR="00900FEB" w:rsidRPr="005B22B1" w:rsidRDefault="006F5034" w:rsidP="004D78BC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D271CC" w:rsidRPr="005B22B1">
        <w:rPr>
          <w:b/>
          <w:u w:val="single"/>
        </w:rPr>
        <w:t>ummary</w:t>
      </w:r>
      <w:r w:rsidR="004270A2">
        <w:rPr>
          <w:b/>
          <w:u w:val="single"/>
        </w:rPr>
        <w:t>:</w:t>
      </w:r>
    </w:p>
    <w:p w:rsidR="00073F99" w:rsidRDefault="00AA62FF" w:rsidP="00AA62FF">
      <w:pPr>
        <w:jc w:val="both"/>
      </w:pPr>
      <w:r>
        <w:t>O</w:t>
      </w:r>
      <w:r w:rsidR="00F830AB">
        <w:t>n July 15</w:t>
      </w:r>
      <w:r w:rsidR="00F830AB" w:rsidRPr="00F830AB">
        <w:rPr>
          <w:vertAlign w:val="superscript"/>
        </w:rPr>
        <w:t>th</w:t>
      </w:r>
      <w:r w:rsidR="00F830AB">
        <w:t>, the County Administrator will be presenting the Tentative Budget to the Board</w:t>
      </w:r>
      <w:r w:rsidR="006B51A3">
        <w:t xml:space="preserve"> per Florida Statutes.</w:t>
      </w:r>
      <w:r w:rsidR="004270A2">
        <w:t xml:space="preserve">  Accordingly, </w:t>
      </w:r>
      <w:r w:rsidR="006E3675">
        <w:t>s</w:t>
      </w:r>
      <w:r>
        <w:t>taff is seeking direction from the Board on any modifications or changes to the currently proposed budget for FY13/14.</w:t>
      </w:r>
    </w:p>
    <w:p w:rsidR="005A7AF0" w:rsidRDefault="005A7AF0" w:rsidP="005A7AF0">
      <w:pPr>
        <w:ind w:left="1080"/>
        <w:jc w:val="both"/>
      </w:pPr>
    </w:p>
    <w:p w:rsidR="00D66982" w:rsidRDefault="00C625B8">
      <w:pPr>
        <w:jc w:val="both"/>
        <w:rPr>
          <w:b/>
          <w:u w:val="single"/>
        </w:rPr>
      </w:pPr>
      <w:r w:rsidRPr="00C625B8">
        <w:rPr>
          <w:b/>
          <w:u w:val="single"/>
        </w:rPr>
        <w:t>Attachments:</w:t>
      </w:r>
    </w:p>
    <w:p w:rsidR="00B304CC" w:rsidRDefault="001F2A59" w:rsidP="00AA62FF">
      <w:pPr>
        <w:numPr>
          <w:ilvl w:val="0"/>
          <w:numId w:val="16"/>
        </w:numPr>
        <w:jc w:val="both"/>
      </w:pPr>
      <w:r w:rsidRPr="00B14F17">
        <w:t xml:space="preserve">Property Appraiser’s </w:t>
      </w:r>
      <w:r w:rsidR="003A2454" w:rsidRPr="00B14F17">
        <w:t xml:space="preserve">June </w:t>
      </w:r>
      <w:r w:rsidRPr="00B14F17">
        <w:t>1</w:t>
      </w:r>
      <w:r>
        <w:t>, 20</w:t>
      </w:r>
      <w:r w:rsidR="00B14F17">
        <w:t>1</w:t>
      </w:r>
      <w:r w:rsidR="00D11DD8">
        <w:t>2</w:t>
      </w:r>
      <w:r>
        <w:t xml:space="preserve"> Estimate Taxable Value.</w:t>
      </w:r>
    </w:p>
    <w:p w:rsidR="0083714D" w:rsidRDefault="0083714D" w:rsidP="0083714D">
      <w:pPr>
        <w:numPr>
          <w:ilvl w:val="0"/>
          <w:numId w:val="16"/>
        </w:numPr>
        <w:jc w:val="both"/>
      </w:pPr>
      <w:r>
        <w:t xml:space="preserve">General Fund </w:t>
      </w:r>
      <w:r w:rsidR="008666DA">
        <w:t>Budget</w:t>
      </w:r>
      <w:r w:rsidR="002A5EAE">
        <w:t xml:space="preserve"> Summary</w:t>
      </w:r>
    </w:p>
    <w:p w:rsidR="008666DA" w:rsidRDefault="008666DA" w:rsidP="0083714D">
      <w:pPr>
        <w:numPr>
          <w:ilvl w:val="0"/>
          <w:numId w:val="16"/>
        </w:numPr>
        <w:jc w:val="both"/>
      </w:pPr>
      <w:r>
        <w:t>General Fund Expense Summary</w:t>
      </w:r>
    </w:p>
    <w:p w:rsidR="002A4D04" w:rsidRDefault="002A4D04">
      <w:pPr>
        <w:jc w:val="both"/>
      </w:pPr>
    </w:p>
    <w:p w:rsidR="002A4D04" w:rsidRDefault="002A4D04">
      <w:pPr>
        <w:jc w:val="both"/>
      </w:pPr>
    </w:p>
    <w:sectPr w:rsidR="002A4D04" w:rsidSect="007613F4">
      <w:endnotePr>
        <w:numFmt w:val="decimal"/>
      </w:endnotePr>
      <w:type w:val="continuous"/>
      <w:pgSz w:w="12240" w:h="15840"/>
      <w:pgMar w:top="1440" w:right="1440" w:bottom="126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D2" w:rsidRDefault="001B72D2">
      <w:r>
        <w:separator/>
      </w:r>
    </w:p>
  </w:endnote>
  <w:endnote w:type="continuationSeparator" w:id="0">
    <w:p w:rsidR="001B72D2" w:rsidRDefault="001B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D2" w:rsidRDefault="001B72D2">
      <w:r>
        <w:separator/>
      </w:r>
    </w:p>
  </w:footnote>
  <w:footnote w:type="continuationSeparator" w:id="0">
    <w:p w:rsidR="001B72D2" w:rsidRDefault="001B7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6" w:rsidRDefault="00C70C56">
    <w:pPr>
      <w:pStyle w:val="Header"/>
    </w:pPr>
    <w:r>
      <w:t xml:space="preserve">Second Budget Development Workshop for FY2013/14 </w:t>
    </w:r>
  </w:p>
  <w:p w:rsidR="001B72D2" w:rsidRDefault="00106B21">
    <w:pPr>
      <w:pStyle w:val="Header"/>
    </w:pPr>
    <w:r>
      <w:t>June 13</w:t>
    </w:r>
    <w:r w:rsidR="002B601F">
      <w:t>, 2013</w:t>
    </w:r>
  </w:p>
  <w:p w:rsidR="001B72D2" w:rsidRDefault="001B72D2">
    <w:pPr>
      <w:pStyle w:val="Header"/>
      <w:pBdr>
        <w:bottom w:val="single" w:sz="6" w:space="1" w:color="auto"/>
      </w:pBdr>
      <w:rPr>
        <w:rStyle w:val="PageNumber"/>
      </w:rPr>
    </w:pPr>
    <w:r>
      <w:t xml:space="preserve">Page </w:t>
    </w:r>
    <w:r w:rsidR="003E7A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7A30">
      <w:rPr>
        <w:rStyle w:val="PageNumber"/>
      </w:rPr>
      <w:fldChar w:fldCharType="separate"/>
    </w:r>
    <w:r w:rsidR="00106B21">
      <w:rPr>
        <w:rStyle w:val="PageNumber"/>
        <w:noProof/>
      </w:rPr>
      <w:t>2</w:t>
    </w:r>
    <w:r w:rsidR="003E7A30">
      <w:rPr>
        <w:rStyle w:val="PageNumber"/>
      </w:rPr>
      <w:fldChar w:fldCharType="end"/>
    </w:r>
  </w:p>
  <w:p w:rsidR="001B72D2" w:rsidRDefault="001B72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9909B4"/>
    <w:multiLevelType w:val="hybridMultilevel"/>
    <w:tmpl w:val="E4B6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671F"/>
    <w:multiLevelType w:val="hybridMultilevel"/>
    <w:tmpl w:val="F55C5AAE"/>
    <w:lvl w:ilvl="0" w:tplc="DCA2E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781D78"/>
    <w:multiLevelType w:val="hybridMultilevel"/>
    <w:tmpl w:val="53BE2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42FA4"/>
    <w:multiLevelType w:val="hybridMultilevel"/>
    <w:tmpl w:val="ADC8568E"/>
    <w:lvl w:ilvl="0" w:tplc="B5A4FE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94F"/>
    <w:multiLevelType w:val="hybridMultilevel"/>
    <w:tmpl w:val="72BC3072"/>
    <w:lvl w:ilvl="0" w:tplc="B5A4FE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7669"/>
    <w:multiLevelType w:val="hybridMultilevel"/>
    <w:tmpl w:val="78B08604"/>
    <w:lvl w:ilvl="0" w:tplc="BE0C5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0AF9"/>
    <w:multiLevelType w:val="hybridMultilevel"/>
    <w:tmpl w:val="5DBED9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D3FEA"/>
    <w:multiLevelType w:val="hybridMultilevel"/>
    <w:tmpl w:val="570017DE"/>
    <w:lvl w:ilvl="0" w:tplc="B5A4FE50">
      <w:start w:val="1"/>
      <w:numFmt w:val="decimal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B5FA0"/>
    <w:multiLevelType w:val="hybridMultilevel"/>
    <w:tmpl w:val="BC8E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16558"/>
    <w:multiLevelType w:val="hybridMultilevel"/>
    <w:tmpl w:val="4BC89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DA2A57"/>
    <w:multiLevelType w:val="hybridMultilevel"/>
    <w:tmpl w:val="706A0A8C"/>
    <w:lvl w:ilvl="0" w:tplc="E3D62AE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>
    <w:nsid w:val="23955580"/>
    <w:multiLevelType w:val="hybridMultilevel"/>
    <w:tmpl w:val="290C1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62282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1C1C"/>
    <w:multiLevelType w:val="hybridMultilevel"/>
    <w:tmpl w:val="42646E14"/>
    <w:lvl w:ilvl="0" w:tplc="6F8EFE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428A7"/>
    <w:multiLevelType w:val="hybridMultilevel"/>
    <w:tmpl w:val="FF80894C"/>
    <w:lvl w:ilvl="0" w:tplc="5366C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22D91"/>
    <w:multiLevelType w:val="hybridMultilevel"/>
    <w:tmpl w:val="99CA6E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0746EF"/>
    <w:multiLevelType w:val="hybridMultilevel"/>
    <w:tmpl w:val="F420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87FB8"/>
    <w:multiLevelType w:val="hybridMultilevel"/>
    <w:tmpl w:val="339AFD00"/>
    <w:lvl w:ilvl="0" w:tplc="B5A4FE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6353"/>
    <w:multiLevelType w:val="hybridMultilevel"/>
    <w:tmpl w:val="D56E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961EF"/>
    <w:multiLevelType w:val="hybridMultilevel"/>
    <w:tmpl w:val="A2B43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D3C41"/>
    <w:multiLevelType w:val="hybridMultilevel"/>
    <w:tmpl w:val="7B285324"/>
    <w:lvl w:ilvl="0" w:tplc="93C67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B45EBB"/>
    <w:multiLevelType w:val="hybridMultilevel"/>
    <w:tmpl w:val="6242E86A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B5A4FE50">
      <w:start w:val="1"/>
      <w:numFmt w:val="decimal"/>
      <w:lvlText w:val="%2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4D0325D"/>
    <w:multiLevelType w:val="hybridMultilevel"/>
    <w:tmpl w:val="96E8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A2403"/>
    <w:multiLevelType w:val="hybridMultilevel"/>
    <w:tmpl w:val="64BAB69C"/>
    <w:lvl w:ilvl="0" w:tplc="782A56F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558D5"/>
    <w:multiLevelType w:val="hybridMultilevel"/>
    <w:tmpl w:val="F55C5AAE"/>
    <w:lvl w:ilvl="0" w:tplc="DCA2E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494072"/>
    <w:multiLevelType w:val="hybridMultilevel"/>
    <w:tmpl w:val="FF6C90E0"/>
    <w:lvl w:ilvl="0" w:tplc="1012C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C117D0"/>
    <w:multiLevelType w:val="hybridMultilevel"/>
    <w:tmpl w:val="5DD06B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695B3C"/>
    <w:multiLevelType w:val="hybridMultilevel"/>
    <w:tmpl w:val="C128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D35753"/>
    <w:multiLevelType w:val="hybridMultilevel"/>
    <w:tmpl w:val="4AC4A822"/>
    <w:lvl w:ilvl="0" w:tplc="C34606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2E266F"/>
    <w:multiLevelType w:val="hybridMultilevel"/>
    <w:tmpl w:val="47C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16A05"/>
    <w:multiLevelType w:val="hybridMultilevel"/>
    <w:tmpl w:val="165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457DD"/>
    <w:multiLevelType w:val="hybridMultilevel"/>
    <w:tmpl w:val="15E66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ED3D13"/>
    <w:multiLevelType w:val="hybridMultilevel"/>
    <w:tmpl w:val="61E281E6"/>
    <w:lvl w:ilvl="0" w:tplc="C6AA0D1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14EBD"/>
    <w:multiLevelType w:val="multilevel"/>
    <w:tmpl w:val="F2D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13B3D"/>
    <w:multiLevelType w:val="hybridMultilevel"/>
    <w:tmpl w:val="6FA23DD2"/>
    <w:lvl w:ilvl="0" w:tplc="C554DD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E25CA8"/>
    <w:multiLevelType w:val="hybridMultilevel"/>
    <w:tmpl w:val="9A50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F5271"/>
    <w:multiLevelType w:val="hybridMultilevel"/>
    <w:tmpl w:val="939407E4"/>
    <w:lvl w:ilvl="0" w:tplc="5720F6A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95B83"/>
    <w:multiLevelType w:val="hybridMultilevel"/>
    <w:tmpl w:val="E892D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F2B5F98"/>
    <w:multiLevelType w:val="hybridMultilevel"/>
    <w:tmpl w:val="34D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7"/>
  </w:num>
  <w:num w:numId="4">
    <w:abstractNumId w:val="14"/>
  </w:num>
  <w:num w:numId="5">
    <w:abstractNumId w:val="15"/>
  </w:num>
  <w:num w:numId="6">
    <w:abstractNumId w:val="22"/>
  </w:num>
  <w:num w:numId="7">
    <w:abstractNumId w:val="32"/>
  </w:num>
  <w:num w:numId="8">
    <w:abstractNumId w:val="38"/>
  </w:num>
  <w:num w:numId="9">
    <w:abstractNumId w:val="11"/>
  </w:num>
  <w:num w:numId="10">
    <w:abstractNumId w:val="31"/>
  </w:num>
  <w:num w:numId="1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30"/>
  </w:num>
  <w:num w:numId="14">
    <w:abstractNumId w:val="39"/>
  </w:num>
  <w:num w:numId="15">
    <w:abstractNumId w:val="24"/>
  </w:num>
  <w:num w:numId="16">
    <w:abstractNumId w:val="27"/>
  </w:num>
  <w:num w:numId="17">
    <w:abstractNumId w:val="37"/>
  </w:num>
  <w:num w:numId="18">
    <w:abstractNumId w:val="13"/>
  </w:num>
  <w:num w:numId="19">
    <w:abstractNumId w:val="35"/>
  </w:num>
  <w:num w:numId="20">
    <w:abstractNumId w:val="29"/>
  </w:num>
  <w:num w:numId="21">
    <w:abstractNumId w:val="3"/>
  </w:num>
  <w:num w:numId="22">
    <w:abstractNumId w:val="7"/>
  </w:num>
  <w:num w:numId="23">
    <w:abstractNumId w:val="26"/>
  </w:num>
  <w:num w:numId="24">
    <w:abstractNumId w:val="16"/>
  </w:num>
  <w:num w:numId="25">
    <w:abstractNumId w:val="5"/>
  </w:num>
  <w:num w:numId="26">
    <w:abstractNumId w:val="6"/>
  </w:num>
  <w:num w:numId="27">
    <w:abstractNumId w:val="18"/>
  </w:num>
  <w:num w:numId="28">
    <w:abstractNumId w:val="9"/>
  </w:num>
  <w:num w:numId="29">
    <w:abstractNumId w:val="23"/>
  </w:num>
  <w:num w:numId="30">
    <w:abstractNumId w:val="4"/>
  </w:num>
  <w:num w:numId="31">
    <w:abstractNumId w:val="25"/>
  </w:num>
  <w:num w:numId="32">
    <w:abstractNumId w:val="28"/>
  </w:num>
  <w:num w:numId="33">
    <w:abstractNumId w:val="20"/>
  </w:num>
  <w:num w:numId="34">
    <w:abstractNumId w:val="33"/>
  </w:num>
  <w:num w:numId="35">
    <w:abstractNumId w:val="8"/>
  </w:num>
  <w:num w:numId="36">
    <w:abstractNumId w:val="36"/>
  </w:num>
  <w:num w:numId="37">
    <w:abstractNumId w:val="21"/>
  </w:num>
  <w:num w:numId="38">
    <w:abstractNumId w:val="10"/>
  </w:num>
  <w:num w:numId="39">
    <w:abstractNumId w:val="19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A76B4"/>
    <w:rsid w:val="00001A65"/>
    <w:rsid w:val="00011022"/>
    <w:rsid w:val="000154CC"/>
    <w:rsid w:val="000155EC"/>
    <w:rsid w:val="00016C34"/>
    <w:rsid w:val="00021034"/>
    <w:rsid w:val="000231D4"/>
    <w:rsid w:val="000301BA"/>
    <w:rsid w:val="0004214A"/>
    <w:rsid w:val="000427C6"/>
    <w:rsid w:val="00042F2D"/>
    <w:rsid w:val="000466BE"/>
    <w:rsid w:val="00050CCF"/>
    <w:rsid w:val="00052B0C"/>
    <w:rsid w:val="00056FB0"/>
    <w:rsid w:val="00073F99"/>
    <w:rsid w:val="00076CAB"/>
    <w:rsid w:val="00080A74"/>
    <w:rsid w:val="0008490B"/>
    <w:rsid w:val="00084E1C"/>
    <w:rsid w:val="00086102"/>
    <w:rsid w:val="00090511"/>
    <w:rsid w:val="000A1707"/>
    <w:rsid w:val="000A33E7"/>
    <w:rsid w:val="000B0DD8"/>
    <w:rsid w:val="000C19D3"/>
    <w:rsid w:val="000C2194"/>
    <w:rsid w:val="000C3A41"/>
    <w:rsid w:val="000C4CC3"/>
    <w:rsid w:val="000C63E6"/>
    <w:rsid w:val="000D5260"/>
    <w:rsid w:val="000E1E91"/>
    <w:rsid w:val="000F0AC0"/>
    <w:rsid w:val="000F7DC0"/>
    <w:rsid w:val="00106B21"/>
    <w:rsid w:val="001075E9"/>
    <w:rsid w:val="00107C4D"/>
    <w:rsid w:val="00110FF7"/>
    <w:rsid w:val="00111F22"/>
    <w:rsid w:val="00115106"/>
    <w:rsid w:val="0011580D"/>
    <w:rsid w:val="00122E81"/>
    <w:rsid w:val="00131EC1"/>
    <w:rsid w:val="001334F1"/>
    <w:rsid w:val="00141903"/>
    <w:rsid w:val="00145A85"/>
    <w:rsid w:val="0014635D"/>
    <w:rsid w:val="001466D8"/>
    <w:rsid w:val="00152519"/>
    <w:rsid w:val="00155A2C"/>
    <w:rsid w:val="00160045"/>
    <w:rsid w:val="00160885"/>
    <w:rsid w:val="00162FB3"/>
    <w:rsid w:val="001675ED"/>
    <w:rsid w:val="00170D80"/>
    <w:rsid w:val="00174961"/>
    <w:rsid w:val="00185056"/>
    <w:rsid w:val="00186F95"/>
    <w:rsid w:val="00191ABE"/>
    <w:rsid w:val="00196646"/>
    <w:rsid w:val="001A3FE8"/>
    <w:rsid w:val="001A6565"/>
    <w:rsid w:val="001B27B1"/>
    <w:rsid w:val="001B3704"/>
    <w:rsid w:val="001B4C0B"/>
    <w:rsid w:val="001B6D9E"/>
    <w:rsid w:val="001B72D2"/>
    <w:rsid w:val="001C0AB2"/>
    <w:rsid w:val="001C159B"/>
    <w:rsid w:val="001D107F"/>
    <w:rsid w:val="001D2B12"/>
    <w:rsid w:val="001D37F7"/>
    <w:rsid w:val="001D43CE"/>
    <w:rsid w:val="001E3A07"/>
    <w:rsid w:val="001E4451"/>
    <w:rsid w:val="001E6387"/>
    <w:rsid w:val="001F0341"/>
    <w:rsid w:val="001F286A"/>
    <w:rsid w:val="001F2A59"/>
    <w:rsid w:val="00211964"/>
    <w:rsid w:val="00215821"/>
    <w:rsid w:val="0021720A"/>
    <w:rsid w:val="00223520"/>
    <w:rsid w:val="00225755"/>
    <w:rsid w:val="00226933"/>
    <w:rsid w:val="0023255F"/>
    <w:rsid w:val="00234A12"/>
    <w:rsid w:val="00240A55"/>
    <w:rsid w:val="002475D9"/>
    <w:rsid w:val="00247CF3"/>
    <w:rsid w:val="002577C6"/>
    <w:rsid w:val="00263A8F"/>
    <w:rsid w:val="00281666"/>
    <w:rsid w:val="00281C2B"/>
    <w:rsid w:val="00287BCB"/>
    <w:rsid w:val="00293159"/>
    <w:rsid w:val="002942AC"/>
    <w:rsid w:val="0029457A"/>
    <w:rsid w:val="002A4916"/>
    <w:rsid w:val="002A4D04"/>
    <w:rsid w:val="002A5782"/>
    <w:rsid w:val="002A5EAE"/>
    <w:rsid w:val="002B1A8C"/>
    <w:rsid w:val="002B49D2"/>
    <w:rsid w:val="002B5836"/>
    <w:rsid w:val="002B601F"/>
    <w:rsid w:val="002B6736"/>
    <w:rsid w:val="002C530A"/>
    <w:rsid w:val="002C6CD1"/>
    <w:rsid w:val="002E6D67"/>
    <w:rsid w:val="002F71F4"/>
    <w:rsid w:val="00303952"/>
    <w:rsid w:val="00307CBF"/>
    <w:rsid w:val="00312DA7"/>
    <w:rsid w:val="003237C4"/>
    <w:rsid w:val="0032481A"/>
    <w:rsid w:val="0033578F"/>
    <w:rsid w:val="00337779"/>
    <w:rsid w:val="0034408B"/>
    <w:rsid w:val="00345EEB"/>
    <w:rsid w:val="00346823"/>
    <w:rsid w:val="00357352"/>
    <w:rsid w:val="003720E9"/>
    <w:rsid w:val="00376619"/>
    <w:rsid w:val="003769C3"/>
    <w:rsid w:val="00376BE7"/>
    <w:rsid w:val="003775DB"/>
    <w:rsid w:val="00381B17"/>
    <w:rsid w:val="00382662"/>
    <w:rsid w:val="003902CF"/>
    <w:rsid w:val="00394239"/>
    <w:rsid w:val="00395B50"/>
    <w:rsid w:val="003966A4"/>
    <w:rsid w:val="003A2454"/>
    <w:rsid w:val="003B2402"/>
    <w:rsid w:val="003B6EDB"/>
    <w:rsid w:val="003C09A2"/>
    <w:rsid w:val="003E3449"/>
    <w:rsid w:val="003E71D4"/>
    <w:rsid w:val="003E7A30"/>
    <w:rsid w:val="003F334B"/>
    <w:rsid w:val="003F3ADC"/>
    <w:rsid w:val="003F5BDE"/>
    <w:rsid w:val="003F6C0F"/>
    <w:rsid w:val="00401765"/>
    <w:rsid w:val="00401D66"/>
    <w:rsid w:val="00410284"/>
    <w:rsid w:val="004109D7"/>
    <w:rsid w:val="004121F9"/>
    <w:rsid w:val="0041336D"/>
    <w:rsid w:val="00415083"/>
    <w:rsid w:val="00423832"/>
    <w:rsid w:val="00424ECE"/>
    <w:rsid w:val="004270A2"/>
    <w:rsid w:val="00431A87"/>
    <w:rsid w:val="0043456F"/>
    <w:rsid w:val="004355DC"/>
    <w:rsid w:val="00441DE7"/>
    <w:rsid w:val="00442CB7"/>
    <w:rsid w:val="00444705"/>
    <w:rsid w:val="004530FD"/>
    <w:rsid w:val="0045370E"/>
    <w:rsid w:val="00456BCA"/>
    <w:rsid w:val="00456CAE"/>
    <w:rsid w:val="004601D5"/>
    <w:rsid w:val="00477A39"/>
    <w:rsid w:val="00482EDB"/>
    <w:rsid w:val="00483602"/>
    <w:rsid w:val="004867F7"/>
    <w:rsid w:val="00491703"/>
    <w:rsid w:val="00493F17"/>
    <w:rsid w:val="004A03DC"/>
    <w:rsid w:val="004B0D0C"/>
    <w:rsid w:val="004B5157"/>
    <w:rsid w:val="004C28C6"/>
    <w:rsid w:val="004C73A9"/>
    <w:rsid w:val="004D1A79"/>
    <w:rsid w:val="004D2ECA"/>
    <w:rsid w:val="004D4527"/>
    <w:rsid w:val="004D78BC"/>
    <w:rsid w:val="004F3644"/>
    <w:rsid w:val="004F3DFA"/>
    <w:rsid w:val="004F55D3"/>
    <w:rsid w:val="00501DB6"/>
    <w:rsid w:val="0050649E"/>
    <w:rsid w:val="00512C63"/>
    <w:rsid w:val="00522382"/>
    <w:rsid w:val="0052510F"/>
    <w:rsid w:val="0054010F"/>
    <w:rsid w:val="00540A2D"/>
    <w:rsid w:val="00545F10"/>
    <w:rsid w:val="00554FA2"/>
    <w:rsid w:val="005567D2"/>
    <w:rsid w:val="00557180"/>
    <w:rsid w:val="00563249"/>
    <w:rsid w:val="00564ABE"/>
    <w:rsid w:val="00565A1E"/>
    <w:rsid w:val="00566F23"/>
    <w:rsid w:val="005716D6"/>
    <w:rsid w:val="005722CB"/>
    <w:rsid w:val="00575AF5"/>
    <w:rsid w:val="00577B17"/>
    <w:rsid w:val="00590A39"/>
    <w:rsid w:val="00592234"/>
    <w:rsid w:val="005A13DE"/>
    <w:rsid w:val="005A219B"/>
    <w:rsid w:val="005A6748"/>
    <w:rsid w:val="005A7AF0"/>
    <w:rsid w:val="005B01E3"/>
    <w:rsid w:val="005B22B1"/>
    <w:rsid w:val="005B57C1"/>
    <w:rsid w:val="005C1DF6"/>
    <w:rsid w:val="005D2CC4"/>
    <w:rsid w:val="005D5789"/>
    <w:rsid w:val="005E5E68"/>
    <w:rsid w:val="005E7F4E"/>
    <w:rsid w:val="006214E4"/>
    <w:rsid w:val="006234CA"/>
    <w:rsid w:val="00623CE5"/>
    <w:rsid w:val="00631880"/>
    <w:rsid w:val="00635127"/>
    <w:rsid w:val="0064120B"/>
    <w:rsid w:val="00651201"/>
    <w:rsid w:val="00652E05"/>
    <w:rsid w:val="006563AB"/>
    <w:rsid w:val="00656850"/>
    <w:rsid w:val="00663A77"/>
    <w:rsid w:val="00670777"/>
    <w:rsid w:val="00674286"/>
    <w:rsid w:val="006769D3"/>
    <w:rsid w:val="0067700D"/>
    <w:rsid w:val="00687DA3"/>
    <w:rsid w:val="00690506"/>
    <w:rsid w:val="006A190C"/>
    <w:rsid w:val="006A76B4"/>
    <w:rsid w:val="006B3415"/>
    <w:rsid w:val="006B51A3"/>
    <w:rsid w:val="006B5394"/>
    <w:rsid w:val="006B59F5"/>
    <w:rsid w:val="006C24DD"/>
    <w:rsid w:val="006C2650"/>
    <w:rsid w:val="006C459C"/>
    <w:rsid w:val="006C639F"/>
    <w:rsid w:val="006D2AB1"/>
    <w:rsid w:val="006D6757"/>
    <w:rsid w:val="006E3581"/>
    <w:rsid w:val="006E3675"/>
    <w:rsid w:val="006E3D8F"/>
    <w:rsid w:val="006E5F54"/>
    <w:rsid w:val="006F5034"/>
    <w:rsid w:val="00712161"/>
    <w:rsid w:val="007154FA"/>
    <w:rsid w:val="00720A48"/>
    <w:rsid w:val="0072439A"/>
    <w:rsid w:val="007245CF"/>
    <w:rsid w:val="00724BD5"/>
    <w:rsid w:val="00730FAC"/>
    <w:rsid w:val="0073547B"/>
    <w:rsid w:val="00742C03"/>
    <w:rsid w:val="007473D0"/>
    <w:rsid w:val="007554ED"/>
    <w:rsid w:val="00755E3E"/>
    <w:rsid w:val="007613F4"/>
    <w:rsid w:val="00767FB6"/>
    <w:rsid w:val="00773727"/>
    <w:rsid w:val="0077420F"/>
    <w:rsid w:val="00774337"/>
    <w:rsid w:val="00775F70"/>
    <w:rsid w:val="00783D06"/>
    <w:rsid w:val="00787DD7"/>
    <w:rsid w:val="00790190"/>
    <w:rsid w:val="00790AAC"/>
    <w:rsid w:val="007915BC"/>
    <w:rsid w:val="007A4B2B"/>
    <w:rsid w:val="007A73B6"/>
    <w:rsid w:val="007B6201"/>
    <w:rsid w:val="007B6DBF"/>
    <w:rsid w:val="007C6FA7"/>
    <w:rsid w:val="007D5692"/>
    <w:rsid w:val="007D73B5"/>
    <w:rsid w:val="007E2E0B"/>
    <w:rsid w:val="007E4234"/>
    <w:rsid w:val="007E42D6"/>
    <w:rsid w:val="007E7AF0"/>
    <w:rsid w:val="007E7F7F"/>
    <w:rsid w:val="007F0184"/>
    <w:rsid w:val="00802116"/>
    <w:rsid w:val="00802ACF"/>
    <w:rsid w:val="00810879"/>
    <w:rsid w:val="008220ED"/>
    <w:rsid w:val="00823B21"/>
    <w:rsid w:val="008310A5"/>
    <w:rsid w:val="0083635A"/>
    <w:rsid w:val="0083714D"/>
    <w:rsid w:val="0084183A"/>
    <w:rsid w:val="00842350"/>
    <w:rsid w:val="008434C6"/>
    <w:rsid w:val="0084458F"/>
    <w:rsid w:val="00852118"/>
    <w:rsid w:val="00853AFD"/>
    <w:rsid w:val="00855221"/>
    <w:rsid w:val="008601D5"/>
    <w:rsid w:val="00864106"/>
    <w:rsid w:val="008666DA"/>
    <w:rsid w:val="00875022"/>
    <w:rsid w:val="00875A67"/>
    <w:rsid w:val="00875CF7"/>
    <w:rsid w:val="008856FF"/>
    <w:rsid w:val="00887AFD"/>
    <w:rsid w:val="0089234C"/>
    <w:rsid w:val="00897CAD"/>
    <w:rsid w:val="008A2249"/>
    <w:rsid w:val="008A4D44"/>
    <w:rsid w:val="008C06C3"/>
    <w:rsid w:val="008C10C3"/>
    <w:rsid w:val="008D1C28"/>
    <w:rsid w:val="008D3E8F"/>
    <w:rsid w:val="008D6260"/>
    <w:rsid w:val="008E257F"/>
    <w:rsid w:val="008E2B1A"/>
    <w:rsid w:val="008E5283"/>
    <w:rsid w:val="008F2E1E"/>
    <w:rsid w:val="008F30BC"/>
    <w:rsid w:val="008F38F3"/>
    <w:rsid w:val="008F5C8F"/>
    <w:rsid w:val="008F7279"/>
    <w:rsid w:val="00900FEB"/>
    <w:rsid w:val="00900FF3"/>
    <w:rsid w:val="009015E1"/>
    <w:rsid w:val="009038D8"/>
    <w:rsid w:val="00903FBF"/>
    <w:rsid w:val="0090583F"/>
    <w:rsid w:val="00920ABB"/>
    <w:rsid w:val="0092626E"/>
    <w:rsid w:val="00927211"/>
    <w:rsid w:val="00927B70"/>
    <w:rsid w:val="00942019"/>
    <w:rsid w:val="00946013"/>
    <w:rsid w:val="00952556"/>
    <w:rsid w:val="00962101"/>
    <w:rsid w:val="00963A97"/>
    <w:rsid w:val="0097036B"/>
    <w:rsid w:val="0097412D"/>
    <w:rsid w:val="00981AA7"/>
    <w:rsid w:val="009862F2"/>
    <w:rsid w:val="0099130D"/>
    <w:rsid w:val="00995491"/>
    <w:rsid w:val="00996E18"/>
    <w:rsid w:val="009B11D7"/>
    <w:rsid w:val="009B144D"/>
    <w:rsid w:val="009B3B3A"/>
    <w:rsid w:val="009B6792"/>
    <w:rsid w:val="009C2634"/>
    <w:rsid w:val="009D035A"/>
    <w:rsid w:val="009D5000"/>
    <w:rsid w:val="009E24F9"/>
    <w:rsid w:val="009E4DA2"/>
    <w:rsid w:val="009F40CD"/>
    <w:rsid w:val="009F5F10"/>
    <w:rsid w:val="00A067F7"/>
    <w:rsid w:val="00A12781"/>
    <w:rsid w:val="00A14A90"/>
    <w:rsid w:val="00A14D2C"/>
    <w:rsid w:val="00A17203"/>
    <w:rsid w:val="00A17E75"/>
    <w:rsid w:val="00A21953"/>
    <w:rsid w:val="00A2292A"/>
    <w:rsid w:val="00A23C89"/>
    <w:rsid w:val="00A2648D"/>
    <w:rsid w:val="00A354FD"/>
    <w:rsid w:val="00A35A47"/>
    <w:rsid w:val="00A4172D"/>
    <w:rsid w:val="00A4633A"/>
    <w:rsid w:val="00A4722D"/>
    <w:rsid w:val="00A509C5"/>
    <w:rsid w:val="00A51D5E"/>
    <w:rsid w:val="00A557BE"/>
    <w:rsid w:val="00A6120B"/>
    <w:rsid w:val="00A65BF8"/>
    <w:rsid w:val="00A71C80"/>
    <w:rsid w:val="00A729BB"/>
    <w:rsid w:val="00A814D7"/>
    <w:rsid w:val="00A90F96"/>
    <w:rsid w:val="00A959AB"/>
    <w:rsid w:val="00AA4808"/>
    <w:rsid w:val="00AA62FF"/>
    <w:rsid w:val="00AB1046"/>
    <w:rsid w:val="00AB1589"/>
    <w:rsid w:val="00AD42B3"/>
    <w:rsid w:val="00AD4A69"/>
    <w:rsid w:val="00AD504B"/>
    <w:rsid w:val="00AD7108"/>
    <w:rsid w:val="00AE2E79"/>
    <w:rsid w:val="00AF115D"/>
    <w:rsid w:val="00AF5B52"/>
    <w:rsid w:val="00B036A9"/>
    <w:rsid w:val="00B05CB1"/>
    <w:rsid w:val="00B06892"/>
    <w:rsid w:val="00B06FDF"/>
    <w:rsid w:val="00B07EF1"/>
    <w:rsid w:val="00B10630"/>
    <w:rsid w:val="00B12926"/>
    <w:rsid w:val="00B14F17"/>
    <w:rsid w:val="00B20311"/>
    <w:rsid w:val="00B21E98"/>
    <w:rsid w:val="00B22D27"/>
    <w:rsid w:val="00B304CC"/>
    <w:rsid w:val="00B31949"/>
    <w:rsid w:val="00B35842"/>
    <w:rsid w:val="00B376AA"/>
    <w:rsid w:val="00B413AA"/>
    <w:rsid w:val="00B43B32"/>
    <w:rsid w:val="00B46E97"/>
    <w:rsid w:val="00B51499"/>
    <w:rsid w:val="00B557D1"/>
    <w:rsid w:val="00B611E1"/>
    <w:rsid w:val="00B640FE"/>
    <w:rsid w:val="00B64D41"/>
    <w:rsid w:val="00B67B52"/>
    <w:rsid w:val="00B72CB0"/>
    <w:rsid w:val="00B765A2"/>
    <w:rsid w:val="00B81941"/>
    <w:rsid w:val="00B87080"/>
    <w:rsid w:val="00B876F8"/>
    <w:rsid w:val="00B9332A"/>
    <w:rsid w:val="00B936F8"/>
    <w:rsid w:val="00B94F77"/>
    <w:rsid w:val="00BA13FA"/>
    <w:rsid w:val="00BA1CFF"/>
    <w:rsid w:val="00BA5347"/>
    <w:rsid w:val="00BA60F8"/>
    <w:rsid w:val="00BB43F5"/>
    <w:rsid w:val="00BC32DA"/>
    <w:rsid w:val="00BD4E8B"/>
    <w:rsid w:val="00BE0112"/>
    <w:rsid w:val="00BE216D"/>
    <w:rsid w:val="00BE2C5C"/>
    <w:rsid w:val="00C02A2B"/>
    <w:rsid w:val="00C155EF"/>
    <w:rsid w:val="00C15EB3"/>
    <w:rsid w:val="00C23125"/>
    <w:rsid w:val="00C3348D"/>
    <w:rsid w:val="00C40DA9"/>
    <w:rsid w:val="00C424BD"/>
    <w:rsid w:val="00C50993"/>
    <w:rsid w:val="00C54BD2"/>
    <w:rsid w:val="00C5594C"/>
    <w:rsid w:val="00C563A4"/>
    <w:rsid w:val="00C61533"/>
    <w:rsid w:val="00C625B8"/>
    <w:rsid w:val="00C662AC"/>
    <w:rsid w:val="00C66A5D"/>
    <w:rsid w:val="00C70C56"/>
    <w:rsid w:val="00C72441"/>
    <w:rsid w:val="00C74959"/>
    <w:rsid w:val="00C74FA8"/>
    <w:rsid w:val="00C77D70"/>
    <w:rsid w:val="00C921A7"/>
    <w:rsid w:val="00C95D77"/>
    <w:rsid w:val="00CC2BAE"/>
    <w:rsid w:val="00CC3C56"/>
    <w:rsid w:val="00CD3EB3"/>
    <w:rsid w:val="00CD563D"/>
    <w:rsid w:val="00CD7837"/>
    <w:rsid w:val="00CE001C"/>
    <w:rsid w:val="00CE3122"/>
    <w:rsid w:val="00CE4993"/>
    <w:rsid w:val="00CF1B20"/>
    <w:rsid w:val="00CF7C46"/>
    <w:rsid w:val="00D10AC3"/>
    <w:rsid w:val="00D11DD8"/>
    <w:rsid w:val="00D12B20"/>
    <w:rsid w:val="00D13BE3"/>
    <w:rsid w:val="00D15700"/>
    <w:rsid w:val="00D26593"/>
    <w:rsid w:val="00D271CC"/>
    <w:rsid w:val="00D30985"/>
    <w:rsid w:val="00D32ECE"/>
    <w:rsid w:val="00D349D8"/>
    <w:rsid w:val="00D35B4C"/>
    <w:rsid w:val="00D41E34"/>
    <w:rsid w:val="00D601B8"/>
    <w:rsid w:val="00D60FF6"/>
    <w:rsid w:val="00D665FC"/>
    <w:rsid w:val="00D66982"/>
    <w:rsid w:val="00D845C7"/>
    <w:rsid w:val="00D86FAE"/>
    <w:rsid w:val="00D87DC9"/>
    <w:rsid w:val="00D93C4D"/>
    <w:rsid w:val="00DA0690"/>
    <w:rsid w:val="00DA339F"/>
    <w:rsid w:val="00DA375E"/>
    <w:rsid w:val="00DA6B22"/>
    <w:rsid w:val="00DA79EB"/>
    <w:rsid w:val="00DB5634"/>
    <w:rsid w:val="00DC03FA"/>
    <w:rsid w:val="00DC147E"/>
    <w:rsid w:val="00DC232B"/>
    <w:rsid w:val="00DC3A5E"/>
    <w:rsid w:val="00DC3B75"/>
    <w:rsid w:val="00DC3B7C"/>
    <w:rsid w:val="00DC628E"/>
    <w:rsid w:val="00DC715C"/>
    <w:rsid w:val="00DC7D0F"/>
    <w:rsid w:val="00DD03CA"/>
    <w:rsid w:val="00DD0B81"/>
    <w:rsid w:val="00DD317F"/>
    <w:rsid w:val="00DD3868"/>
    <w:rsid w:val="00DE0C3D"/>
    <w:rsid w:val="00DE1451"/>
    <w:rsid w:val="00DE3F88"/>
    <w:rsid w:val="00DE41DE"/>
    <w:rsid w:val="00DE4E19"/>
    <w:rsid w:val="00DE4EB7"/>
    <w:rsid w:val="00DE58DF"/>
    <w:rsid w:val="00DE5BFA"/>
    <w:rsid w:val="00DF2973"/>
    <w:rsid w:val="00DF3F66"/>
    <w:rsid w:val="00DF476F"/>
    <w:rsid w:val="00E06808"/>
    <w:rsid w:val="00E137EC"/>
    <w:rsid w:val="00E170C4"/>
    <w:rsid w:val="00E17642"/>
    <w:rsid w:val="00E20CF1"/>
    <w:rsid w:val="00E23705"/>
    <w:rsid w:val="00E36A4F"/>
    <w:rsid w:val="00E3785F"/>
    <w:rsid w:val="00E40450"/>
    <w:rsid w:val="00E46AFF"/>
    <w:rsid w:val="00E544E5"/>
    <w:rsid w:val="00E567A9"/>
    <w:rsid w:val="00E57544"/>
    <w:rsid w:val="00E57CB5"/>
    <w:rsid w:val="00E615FB"/>
    <w:rsid w:val="00E63D11"/>
    <w:rsid w:val="00E74ACC"/>
    <w:rsid w:val="00E765F5"/>
    <w:rsid w:val="00E76D12"/>
    <w:rsid w:val="00E83614"/>
    <w:rsid w:val="00E90883"/>
    <w:rsid w:val="00E9214C"/>
    <w:rsid w:val="00E958C7"/>
    <w:rsid w:val="00E96056"/>
    <w:rsid w:val="00EA1062"/>
    <w:rsid w:val="00EA4E31"/>
    <w:rsid w:val="00EC08C5"/>
    <w:rsid w:val="00EC0A2F"/>
    <w:rsid w:val="00EC22BE"/>
    <w:rsid w:val="00EC5E90"/>
    <w:rsid w:val="00EC6393"/>
    <w:rsid w:val="00ED003F"/>
    <w:rsid w:val="00ED0A64"/>
    <w:rsid w:val="00ED0DF6"/>
    <w:rsid w:val="00ED2030"/>
    <w:rsid w:val="00ED416D"/>
    <w:rsid w:val="00EE0611"/>
    <w:rsid w:val="00EE469F"/>
    <w:rsid w:val="00EE6223"/>
    <w:rsid w:val="00EF128F"/>
    <w:rsid w:val="00EF4FA9"/>
    <w:rsid w:val="00F00824"/>
    <w:rsid w:val="00F03F63"/>
    <w:rsid w:val="00F10707"/>
    <w:rsid w:val="00F135A8"/>
    <w:rsid w:val="00F25F6E"/>
    <w:rsid w:val="00F31169"/>
    <w:rsid w:val="00F315F5"/>
    <w:rsid w:val="00F32D4F"/>
    <w:rsid w:val="00F34C40"/>
    <w:rsid w:val="00F35449"/>
    <w:rsid w:val="00F3592F"/>
    <w:rsid w:val="00F42626"/>
    <w:rsid w:val="00F42CCB"/>
    <w:rsid w:val="00F46732"/>
    <w:rsid w:val="00F6204A"/>
    <w:rsid w:val="00F64D45"/>
    <w:rsid w:val="00F71EF2"/>
    <w:rsid w:val="00F74564"/>
    <w:rsid w:val="00F819ED"/>
    <w:rsid w:val="00F830AB"/>
    <w:rsid w:val="00F94871"/>
    <w:rsid w:val="00FA5E74"/>
    <w:rsid w:val="00FB3911"/>
    <w:rsid w:val="00FB5009"/>
    <w:rsid w:val="00FB55B0"/>
    <w:rsid w:val="00FC036A"/>
    <w:rsid w:val="00FC5BE9"/>
    <w:rsid w:val="00FD36B0"/>
    <w:rsid w:val="00FE0175"/>
    <w:rsid w:val="00FE2A1D"/>
    <w:rsid w:val="00FE77D1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30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9088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883"/>
    <w:pPr>
      <w:keepNext/>
      <w:jc w:val="both"/>
      <w:outlineLvl w:val="1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E90883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9130D"/>
  </w:style>
  <w:style w:type="paragraph" w:customStyle="1" w:styleId="Level1">
    <w:name w:val="Level 1"/>
    <w:basedOn w:val="Normal"/>
    <w:rsid w:val="0099130D"/>
    <w:pPr>
      <w:numPr>
        <w:numId w:val="2"/>
      </w:numPr>
      <w:ind w:left="720" w:hanging="720"/>
      <w:outlineLvl w:val="0"/>
    </w:pPr>
  </w:style>
  <w:style w:type="paragraph" w:styleId="Header">
    <w:name w:val="header"/>
    <w:basedOn w:val="Normal"/>
    <w:rsid w:val="00991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30D"/>
  </w:style>
  <w:style w:type="character" w:styleId="CommentReference">
    <w:name w:val="annotation reference"/>
    <w:basedOn w:val="DefaultParagraphFont"/>
    <w:semiHidden/>
    <w:rsid w:val="0099130D"/>
    <w:rPr>
      <w:sz w:val="16"/>
      <w:szCs w:val="16"/>
    </w:rPr>
  </w:style>
  <w:style w:type="paragraph" w:styleId="CommentText">
    <w:name w:val="annotation text"/>
    <w:basedOn w:val="Normal"/>
    <w:semiHidden/>
    <w:rsid w:val="009913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130D"/>
    <w:rPr>
      <w:b/>
      <w:bCs/>
    </w:rPr>
  </w:style>
  <w:style w:type="paragraph" w:styleId="BalloonText">
    <w:name w:val="Balloon Text"/>
    <w:basedOn w:val="Normal"/>
    <w:semiHidden/>
    <w:rsid w:val="0099130D"/>
    <w:rPr>
      <w:rFonts w:ascii="Tahoma" w:hAnsi="Tahoma" w:cs="Tahoma"/>
      <w:sz w:val="16"/>
      <w:szCs w:val="16"/>
    </w:rPr>
  </w:style>
  <w:style w:type="paragraph" w:customStyle="1" w:styleId="level10">
    <w:name w:val="level1"/>
    <w:basedOn w:val="Normal"/>
    <w:rsid w:val="0099130D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rsid w:val="00C563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2ECE"/>
    <w:rPr>
      <w:color w:val="0000FF"/>
      <w:u w:val="single"/>
    </w:rPr>
  </w:style>
  <w:style w:type="paragraph" w:styleId="NormalWeb">
    <w:name w:val="Normal (Web)"/>
    <w:basedOn w:val="Normal"/>
    <w:uiPriority w:val="99"/>
    <w:rsid w:val="00D32ECE"/>
    <w:pPr>
      <w:widowControl/>
      <w:spacing w:before="100" w:beforeAutospacing="1" w:after="100" w:afterAutospacing="1"/>
    </w:pPr>
    <w:rPr>
      <w:rFonts w:ascii="Trebuchet MS" w:hAnsi="Trebuchet MS"/>
      <w:snapToGrid/>
      <w:color w:val="000080"/>
      <w:sz w:val="20"/>
    </w:rPr>
  </w:style>
  <w:style w:type="paragraph" w:styleId="ListParagraph">
    <w:name w:val="List Paragraph"/>
    <w:basedOn w:val="Normal"/>
    <w:uiPriority w:val="34"/>
    <w:qFormat/>
    <w:rsid w:val="00D1570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body">
    <w:name w:val="body"/>
    <w:basedOn w:val="Normal"/>
    <w:rsid w:val="00E90883"/>
    <w:pPr>
      <w:widowControl/>
      <w:spacing w:before="150"/>
      <w:ind w:left="75" w:right="75" w:firstLine="150"/>
      <w:textAlignment w:val="top"/>
    </w:pPr>
    <w:rPr>
      <w:rFonts w:ascii="Arial Unicode MS" w:eastAsia="Arial Unicode MS" w:hAnsi="Arial Unicode MS" w:cs="Arial Unicode MS"/>
      <w:snapToGrid/>
      <w:sz w:val="18"/>
      <w:szCs w:val="18"/>
    </w:rPr>
  </w:style>
  <w:style w:type="paragraph" w:styleId="BodyText2">
    <w:name w:val="Body Text 2"/>
    <w:basedOn w:val="Normal"/>
    <w:rsid w:val="00E90883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E14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145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30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9088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883"/>
    <w:pPr>
      <w:keepNext/>
      <w:jc w:val="both"/>
      <w:outlineLvl w:val="1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E90883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9130D"/>
  </w:style>
  <w:style w:type="paragraph" w:customStyle="1" w:styleId="Level1">
    <w:name w:val="Level 1"/>
    <w:basedOn w:val="Normal"/>
    <w:rsid w:val="0099130D"/>
    <w:pPr>
      <w:numPr>
        <w:numId w:val="2"/>
      </w:numPr>
      <w:ind w:left="720" w:hanging="720"/>
      <w:outlineLvl w:val="0"/>
    </w:pPr>
  </w:style>
  <w:style w:type="paragraph" w:styleId="Header">
    <w:name w:val="header"/>
    <w:basedOn w:val="Normal"/>
    <w:rsid w:val="00991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30D"/>
  </w:style>
  <w:style w:type="character" w:styleId="CommentReference">
    <w:name w:val="annotation reference"/>
    <w:basedOn w:val="DefaultParagraphFont"/>
    <w:semiHidden/>
    <w:rsid w:val="0099130D"/>
    <w:rPr>
      <w:sz w:val="16"/>
      <w:szCs w:val="16"/>
    </w:rPr>
  </w:style>
  <w:style w:type="paragraph" w:styleId="CommentText">
    <w:name w:val="annotation text"/>
    <w:basedOn w:val="Normal"/>
    <w:semiHidden/>
    <w:rsid w:val="009913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130D"/>
    <w:rPr>
      <w:b/>
      <w:bCs/>
    </w:rPr>
  </w:style>
  <w:style w:type="paragraph" w:styleId="BalloonText">
    <w:name w:val="Balloon Text"/>
    <w:basedOn w:val="Normal"/>
    <w:semiHidden/>
    <w:rsid w:val="0099130D"/>
    <w:rPr>
      <w:rFonts w:ascii="Tahoma" w:hAnsi="Tahoma" w:cs="Tahoma"/>
      <w:sz w:val="16"/>
      <w:szCs w:val="16"/>
    </w:rPr>
  </w:style>
  <w:style w:type="paragraph" w:customStyle="1" w:styleId="level10">
    <w:name w:val="level1"/>
    <w:basedOn w:val="Normal"/>
    <w:rsid w:val="0099130D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rsid w:val="00C563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2ECE"/>
    <w:rPr>
      <w:color w:val="0000FF"/>
      <w:u w:val="single"/>
    </w:rPr>
  </w:style>
  <w:style w:type="paragraph" w:styleId="NormalWeb">
    <w:name w:val="Normal (Web)"/>
    <w:basedOn w:val="Normal"/>
    <w:uiPriority w:val="99"/>
    <w:rsid w:val="00D32ECE"/>
    <w:pPr>
      <w:widowControl/>
      <w:spacing w:before="100" w:beforeAutospacing="1" w:after="100" w:afterAutospacing="1"/>
    </w:pPr>
    <w:rPr>
      <w:rFonts w:ascii="Trebuchet MS" w:hAnsi="Trebuchet MS"/>
      <w:snapToGrid/>
      <w:color w:val="000080"/>
      <w:sz w:val="20"/>
    </w:rPr>
  </w:style>
  <w:style w:type="paragraph" w:styleId="ListParagraph">
    <w:name w:val="List Paragraph"/>
    <w:basedOn w:val="Normal"/>
    <w:uiPriority w:val="34"/>
    <w:qFormat/>
    <w:rsid w:val="00D1570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body">
    <w:name w:val="body"/>
    <w:basedOn w:val="Normal"/>
    <w:rsid w:val="00E90883"/>
    <w:pPr>
      <w:widowControl/>
      <w:spacing w:before="150"/>
      <w:ind w:left="75" w:right="75" w:firstLine="150"/>
      <w:textAlignment w:val="top"/>
    </w:pPr>
    <w:rPr>
      <w:rFonts w:ascii="Arial Unicode MS" w:eastAsia="Arial Unicode MS" w:hAnsi="Arial Unicode MS" w:cs="Arial Unicode MS"/>
      <w:snapToGrid/>
      <w:sz w:val="18"/>
      <w:szCs w:val="18"/>
    </w:rPr>
  </w:style>
  <w:style w:type="paragraph" w:styleId="BodyText2">
    <w:name w:val="Body Text 2"/>
    <w:basedOn w:val="Normal"/>
    <w:rsid w:val="00E90883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E14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1451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25A4-A8AF-48C0-A5D9-BA391ACB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1086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County Commissioners</vt:lpstr>
    </vt:vector>
  </TitlesOfParts>
  <Company>County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County Commissioners</dc:title>
  <dc:creator>Leon</dc:creator>
  <dc:description>In order for the template to work properly you must save it to: C:\documents and settings\user\application data\microsoft\templates. Then click from FILE...New. Click on General Templates and the Agenda Request shoul dbe there to create a</dc:description>
  <cp:lastModifiedBy>Katie Taff</cp:lastModifiedBy>
  <cp:revision>6</cp:revision>
  <cp:lastPrinted>2013-06-05T16:42:00Z</cp:lastPrinted>
  <dcterms:created xsi:type="dcterms:W3CDTF">2013-06-05T17:40:00Z</dcterms:created>
  <dcterms:modified xsi:type="dcterms:W3CDTF">2013-06-13T13:11:00Z</dcterms:modified>
</cp:coreProperties>
</file>