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47" w:rsidRDefault="00664F47">
      <w:pPr>
        <w:jc w:val="center"/>
        <w:rPr>
          <w:b/>
          <w:sz w:val="36"/>
        </w:rPr>
      </w:pPr>
      <w:r>
        <w:rPr>
          <w:b/>
          <w:sz w:val="36"/>
        </w:rPr>
        <w:t xml:space="preserve">Board of </w:t>
      </w:r>
      <w:smartTag w:uri="urn:schemas-microsoft-com:office:smarttags" w:element="PlaceType">
        <w:smartTag w:uri="urn:schemas-microsoft-com:office:smarttags" w:element="place">
          <w:r>
            <w:rPr>
              <w:b/>
              <w:sz w:val="36"/>
            </w:rPr>
            <w:t>County</w:t>
          </w:r>
        </w:smartTag>
        <w:r>
          <w:rPr>
            <w:b/>
            <w:sz w:val="36"/>
          </w:rPr>
          <w:t xml:space="preserve"> </w:t>
        </w:r>
        <w:smartTag w:uri="urn:schemas-microsoft-com:office:smarttags" w:element="PlaceName">
          <w:r>
            <w:rPr>
              <w:b/>
              <w:sz w:val="36"/>
            </w:rPr>
            <w:t>Commissioners</w:t>
          </w:r>
        </w:smartTag>
      </w:smartTag>
    </w:p>
    <w:p w:rsidR="00664F47" w:rsidRPr="00DB3548" w:rsidRDefault="00664F47" w:rsidP="00DB3548">
      <w:pPr>
        <w:jc w:val="center"/>
        <w:rPr>
          <w:b/>
          <w:sz w:val="32"/>
          <w:szCs w:val="32"/>
        </w:rPr>
      </w:pPr>
      <w:r w:rsidRPr="00DB3548">
        <w:rPr>
          <w:b/>
          <w:sz w:val="32"/>
          <w:szCs w:val="32"/>
        </w:rPr>
        <w:t>Workshop</w:t>
      </w:r>
    </w:p>
    <w:p w:rsidR="00664F47" w:rsidRDefault="00664F47"/>
    <w:tbl>
      <w:tblPr>
        <w:tblW w:w="0" w:type="auto"/>
        <w:tblInd w:w="120" w:type="dxa"/>
        <w:tblLayout w:type="fixed"/>
        <w:tblCellMar>
          <w:left w:w="29" w:type="dxa"/>
          <w:right w:w="29" w:type="dxa"/>
        </w:tblCellMar>
        <w:tblLook w:val="0000"/>
      </w:tblPr>
      <w:tblGrid>
        <w:gridCol w:w="1980"/>
        <w:gridCol w:w="7380"/>
      </w:tblGrid>
      <w:tr w:rsidR="00664F47">
        <w:trPr>
          <w:trHeight w:val="432"/>
        </w:trPr>
        <w:tc>
          <w:tcPr>
            <w:tcW w:w="1980" w:type="dxa"/>
          </w:tcPr>
          <w:p w:rsidR="00664F47" w:rsidRDefault="00664F47">
            <w:pPr>
              <w:spacing w:after="58"/>
            </w:pPr>
            <w:r>
              <w:t>Date of Meeting:</w:t>
            </w:r>
          </w:p>
        </w:tc>
        <w:tc>
          <w:tcPr>
            <w:tcW w:w="7380" w:type="dxa"/>
          </w:tcPr>
          <w:p w:rsidR="00664F47" w:rsidRDefault="00664F47" w:rsidP="00FE24BE">
            <w:pPr>
              <w:spacing w:after="58"/>
            </w:pPr>
            <w:r>
              <w:t>August 4, 2011</w:t>
            </w:r>
          </w:p>
        </w:tc>
      </w:tr>
      <w:tr w:rsidR="00664F47">
        <w:trPr>
          <w:trHeight w:hRule="exact" w:val="187"/>
        </w:trPr>
        <w:tc>
          <w:tcPr>
            <w:tcW w:w="1980" w:type="dxa"/>
          </w:tcPr>
          <w:p w:rsidR="00664F47" w:rsidRDefault="00664F47">
            <w:pPr>
              <w:spacing w:line="120" w:lineRule="exact"/>
            </w:pPr>
          </w:p>
        </w:tc>
        <w:tc>
          <w:tcPr>
            <w:tcW w:w="7380" w:type="dxa"/>
          </w:tcPr>
          <w:p w:rsidR="00664F47" w:rsidRDefault="00664F47">
            <w:pPr>
              <w:spacing w:after="58"/>
            </w:pPr>
          </w:p>
        </w:tc>
      </w:tr>
      <w:tr w:rsidR="00664F47">
        <w:trPr>
          <w:trHeight w:val="432"/>
        </w:trPr>
        <w:tc>
          <w:tcPr>
            <w:tcW w:w="1980" w:type="dxa"/>
          </w:tcPr>
          <w:p w:rsidR="00664F47" w:rsidRDefault="00664F47">
            <w:pPr>
              <w:spacing w:after="58"/>
            </w:pPr>
            <w:r>
              <w:t>Date Submitted:</w:t>
            </w:r>
          </w:p>
        </w:tc>
        <w:tc>
          <w:tcPr>
            <w:tcW w:w="7380" w:type="dxa"/>
          </w:tcPr>
          <w:p w:rsidR="00664F47" w:rsidRDefault="00664F47" w:rsidP="00FE24BE">
            <w:pPr>
              <w:spacing w:after="58"/>
            </w:pPr>
            <w:r>
              <w:t>August 1, 2011</w:t>
            </w:r>
          </w:p>
        </w:tc>
      </w:tr>
      <w:tr w:rsidR="00664F47">
        <w:trPr>
          <w:trHeight w:hRule="exact" w:val="189"/>
        </w:trPr>
        <w:tc>
          <w:tcPr>
            <w:tcW w:w="1980" w:type="dxa"/>
          </w:tcPr>
          <w:p w:rsidR="00664F47" w:rsidRDefault="00664F47">
            <w:pPr>
              <w:spacing w:line="120" w:lineRule="exact"/>
            </w:pPr>
          </w:p>
        </w:tc>
        <w:tc>
          <w:tcPr>
            <w:tcW w:w="7380" w:type="dxa"/>
          </w:tcPr>
          <w:p w:rsidR="00664F47" w:rsidRDefault="00664F47">
            <w:pPr>
              <w:spacing w:line="120" w:lineRule="exact"/>
            </w:pPr>
          </w:p>
        </w:tc>
      </w:tr>
      <w:tr w:rsidR="00664F47">
        <w:trPr>
          <w:trHeight w:val="432"/>
        </w:trPr>
        <w:tc>
          <w:tcPr>
            <w:tcW w:w="1980" w:type="dxa"/>
          </w:tcPr>
          <w:p w:rsidR="00664F47" w:rsidRDefault="00664F47">
            <w:pPr>
              <w:tabs>
                <w:tab w:val="left" w:pos="-1440"/>
              </w:tabs>
              <w:spacing w:after="58"/>
            </w:pPr>
            <w:r>
              <w:t>To:</w:t>
            </w:r>
            <w:r>
              <w:tab/>
            </w:r>
          </w:p>
        </w:tc>
        <w:tc>
          <w:tcPr>
            <w:tcW w:w="7380" w:type="dxa"/>
          </w:tcPr>
          <w:p w:rsidR="00664F47" w:rsidRDefault="00664F47">
            <w:pPr>
              <w:spacing w:after="58"/>
            </w:pPr>
            <w:r>
              <w:t>Honorable Chairman and Members of the Board</w:t>
            </w:r>
          </w:p>
        </w:tc>
      </w:tr>
      <w:tr w:rsidR="00664F47">
        <w:trPr>
          <w:trHeight w:hRule="exact" w:val="198"/>
        </w:trPr>
        <w:tc>
          <w:tcPr>
            <w:tcW w:w="1980" w:type="dxa"/>
          </w:tcPr>
          <w:p w:rsidR="00664F47" w:rsidRDefault="00664F47">
            <w:pPr>
              <w:tabs>
                <w:tab w:val="left" w:pos="-1440"/>
              </w:tabs>
              <w:spacing w:after="58"/>
              <w:ind w:left="720" w:hanging="720"/>
            </w:pPr>
          </w:p>
        </w:tc>
        <w:tc>
          <w:tcPr>
            <w:tcW w:w="7380" w:type="dxa"/>
          </w:tcPr>
          <w:p w:rsidR="00664F47" w:rsidRDefault="00664F47">
            <w:pPr>
              <w:spacing w:after="58"/>
            </w:pPr>
          </w:p>
        </w:tc>
      </w:tr>
      <w:tr w:rsidR="00664F47" w:rsidRPr="00755EB3">
        <w:trPr>
          <w:trHeight w:val="423"/>
        </w:trPr>
        <w:tc>
          <w:tcPr>
            <w:tcW w:w="1980" w:type="dxa"/>
          </w:tcPr>
          <w:p w:rsidR="00664F47" w:rsidRDefault="00664F47">
            <w:pPr>
              <w:tabs>
                <w:tab w:val="left" w:pos="-1440"/>
              </w:tabs>
              <w:spacing w:after="58"/>
              <w:ind w:left="720" w:hanging="720"/>
            </w:pPr>
            <w:r>
              <w:t xml:space="preserve">From: </w:t>
            </w:r>
            <w:r>
              <w:tab/>
            </w:r>
          </w:p>
        </w:tc>
        <w:tc>
          <w:tcPr>
            <w:tcW w:w="7380" w:type="dxa"/>
          </w:tcPr>
          <w:p w:rsidR="00664F47" w:rsidRDefault="00664F47">
            <w:pPr>
              <w:spacing w:after="58"/>
            </w:pPr>
            <w:r>
              <w:t xml:space="preserve">Timothy P. Barden,  Interim </w:t>
            </w:r>
            <w:smartTag w:uri="urn:schemas-microsoft-com:office:smarttags" w:element="PlaceType">
              <w:smartTag w:uri="urn:schemas-microsoft-com:office:smarttags" w:element="PlaceType">
                <w:r>
                  <w:t>County</w:t>
                </w:r>
              </w:smartTag>
              <w:r>
                <w:t xml:space="preserve"> </w:t>
              </w:r>
              <w:smartTag w:uri="urn:schemas-microsoft-com:office:smarttags" w:element="PlaceType">
                <w:r>
                  <w:t>Administrator</w:t>
                </w:r>
              </w:smartTag>
            </w:smartTag>
          </w:p>
          <w:p w:rsidR="00664F47" w:rsidRDefault="00664F47" w:rsidP="004C2A1E">
            <w:pPr>
              <w:spacing w:after="58"/>
            </w:pPr>
            <w:smartTag w:uri="urn:schemas-microsoft-com:office:smarttags" w:element="PlaceType">
              <w:r>
                <w:t>William Wright</w:t>
              </w:r>
            </w:smartTag>
            <w:r>
              <w:t>, OMB Analyst</w:t>
            </w:r>
            <w:r>
              <w:fldChar w:fldCharType="begin"/>
            </w:r>
            <w:r>
              <w:instrText xml:space="preserve"> FILLIN  "Type Department/Group Director's Name and Title"  \* MERGEFORMAT </w:instrText>
            </w:r>
            <w:r>
              <w:fldChar w:fldCharType="end"/>
            </w:r>
          </w:p>
        </w:tc>
      </w:tr>
      <w:tr w:rsidR="00664F47">
        <w:trPr>
          <w:trHeight w:hRule="exact" w:val="187"/>
        </w:trPr>
        <w:tc>
          <w:tcPr>
            <w:tcW w:w="1980" w:type="dxa"/>
          </w:tcPr>
          <w:p w:rsidR="00664F47" w:rsidRDefault="00664F47">
            <w:pPr>
              <w:spacing w:after="58"/>
            </w:pPr>
          </w:p>
        </w:tc>
        <w:tc>
          <w:tcPr>
            <w:tcW w:w="7380" w:type="dxa"/>
          </w:tcPr>
          <w:p w:rsidR="00664F47" w:rsidRDefault="00664F47">
            <w:pPr>
              <w:spacing w:after="58"/>
            </w:pPr>
          </w:p>
        </w:tc>
      </w:tr>
      <w:tr w:rsidR="00664F47">
        <w:trPr>
          <w:trHeight w:val="432"/>
        </w:trPr>
        <w:tc>
          <w:tcPr>
            <w:tcW w:w="1980" w:type="dxa"/>
            <w:tcBorders>
              <w:bottom w:val="single" w:sz="4" w:space="0" w:color="auto"/>
            </w:tcBorders>
          </w:tcPr>
          <w:p w:rsidR="00664F47" w:rsidRPr="00E90451" w:rsidRDefault="00664F47">
            <w:pPr>
              <w:spacing w:after="58"/>
            </w:pPr>
            <w:r w:rsidRPr="00E90451">
              <w:t>Subject:</w:t>
            </w:r>
          </w:p>
        </w:tc>
        <w:tc>
          <w:tcPr>
            <w:tcW w:w="7380" w:type="dxa"/>
            <w:tcBorders>
              <w:bottom w:val="single" w:sz="4" w:space="0" w:color="auto"/>
            </w:tcBorders>
          </w:tcPr>
          <w:p w:rsidR="00664F47" w:rsidRPr="00E90451" w:rsidRDefault="00664F47" w:rsidP="009D734F">
            <w:pPr>
              <w:widowControl/>
              <w:jc w:val="both"/>
              <w:rPr>
                <w:szCs w:val="24"/>
              </w:rPr>
            </w:pPr>
            <w:r>
              <w:t>4</w:t>
            </w:r>
            <w:r w:rsidRPr="00E90451">
              <w:rPr>
                <w:vertAlign w:val="superscript"/>
              </w:rPr>
              <w:t>th</w:t>
            </w:r>
            <w:r w:rsidRPr="00E90451">
              <w:t xml:space="preserve"> Budget Workshop for the Tentative FY20</w:t>
            </w:r>
            <w:r>
              <w:t>11</w:t>
            </w:r>
            <w:r w:rsidRPr="00E90451">
              <w:t>/201</w:t>
            </w:r>
            <w:r>
              <w:t>2</w:t>
            </w:r>
            <w:r w:rsidRPr="00E90451">
              <w:t xml:space="preserve"> Budget </w:t>
            </w:r>
          </w:p>
        </w:tc>
      </w:tr>
    </w:tbl>
    <w:p w:rsidR="00664F47" w:rsidRDefault="00664F47">
      <w:pPr>
        <w:pBdr>
          <w:bottom w:val="single" w:sz="12" w:space="1" w:color="auto"/>
        </w:pBdr>
        <w:jc w:val="both"/>
        <w:sectPr w:rsidR="00664F47" w:rsidSect="00411B85">
          <w:headerReference w:type="default" r:id="rId7"/>
          <w:endnotePr>
            <w:numFmt w:val="decimal"/>
          </w:endnotePr>
          <w:pgSz w:w="12240" w:h="15840"/>
          <w:pgMar w:top="1440" w:right="1440" w:bottom="1440" w:left="1440" w:header="1440" w:footer="806" w:gutter="0"/>
          <w:cols w:space="720"/>
          <w:noEndnote/>
          <w:titlePg/>
        </w:sectPr>
      </w:pPr>
    </w:p>
    <w:p w:rsidR="00664F47" w:rsidRPr="00F03222" w:rsidRDefault="00664F47">
      <w:pPr>
        <w:jc w:val="both"/>
        <w:rPr>
          <w:b/>
          <w:szCs w:val="24"/>
          <w:u w:val="single"/>
        </w:rPr>
      </w:pPr>
    </w:p>
    <w:p w:rsidR="00664F47" w:rsidRPr="00F03222" w:rsidRDefault="00664F47" w:rsidP="006258AE">
      <w:pPr>
        <w:jc w:val="both"/>
        <w:rPr>
          <w:szCs w:val="24"/>
        </w:rPr>
      </w:pPr>
      <w:r w:rsidRPr="00F03222">
        <w:rPr>
          <w:b/>
          <w:szCs w:val="24"/>
          <w:u w:val="single"/>
        </w:rPr>
        <w:t>Statement of Issue:</w:t>
      </w:r>
    </w:p>
    <w:p w:rsidR="00664F47" w:rsidRPr="00F03222" w:rsidRDefault="00664F47" w:rsidP="006258AE">
      <w:pPr>
        <w:widowControl/>
        <w:jc w:val="both"/>
        <w:rPr>
          <w:szCs w:val="24"/>
        </w:rPr>
      </w:pPr>
      <w:r w:rsidRPr="00F03222">
        <w:rPr>
          <w:szCs w:val="24"/>
        </w:rPr>
        <w:t>This serves as the 4</w:t>
      </w:r>
      <w:r w:rsidRPr="00F03222">
        <w:rPr>
          <w:szCs w:val="24"/>
          <w:vertAlign w:val="superscript"/>
        </w:rPr>
        <w:t>th</w:t>
      </w:r>
      <w:r w:rsidRPr="00F03222">
        <w:rPr>
          <w:szCs w:val="24"/>
        </w:rPr>
        <w:t xml:space="preserve"> workshop regarding the Tentative FY2011/12 budget submitted to the Board on July 15, 2011.  </w:t>
      </w:r>
    </w:p>
    <w:p w:rsidR="00664F47" w:rsidRPr="00F03222" w:rsidRDefault="00664F47" w:rsidP="006258AE">
      <w:pPr>
        <w:jc w:val="both"/>
        <w:rPr>
          <w:szCs w:val="24"/>
        </w:rPr>
      </w:pPr>
    </w:p>
    <w:p w:rsidR="00664F47" w:rsidRPr="00F03222" w:rsidRDefault="00664F47" w:rsidP="006258AE">
      <w:pPr>
        <w:jc w:val="both"/>
        <w:rPr>
          <w:szCs w:val="24"/>
        </w:rPr>
      </w:pPr>
      <w:r w:rsidRPr="00F03222">
        <w:rPr>
          <w:b/>
          <w:szCs w:val="24"/>
          <w:u w:val="single"/>
        </w:rPr>
        <w:t>Background:</w:t>
      </w:r>
    </w:p>
    <w:p w:rsidR="00664F47" w:rsidRPr="00F03222" w:rsidRDefault="00664F47" w:rsidP="006258AE">
      <w:pPr>
        <w:widowControl/>
        <w:autoSpaceDE w:val="0"/>
        <w:autoSpaceDN w:val="0"/>
        <w:adjustRightInd w:val="0"/>
        <w:jc w:val="both"/>
        <w:rPr>
          <w:szCs w:val="24"/>
        </w:rPr>
      </w:pPr>
      <w:r w:rsidRPr="00F03222">
        <w:rPr>
          <w:szCs w:val="24"/>
        </w:rPr>
        <w:t xml:space="preserve">The first in this series of workshops was held on March 10, 2011.  The last workshop was held on June 23, 2011.  These workshops have provided the Board the opportunity to give staff direction in the process as well an opportunity for the public to voice their opinions and concerns regarding the upcoming budget.  </w:t>
      </w:r>
    </w:p>
    <w:p w:rsidR="00664F47" w:rsidRPr="00F03222" w:rsidRDefault="00664F47" w:rsidP="006258AE">
      <w:pPr>
        <w:widowControl/>
        <w:autoSpaceDE w:val="0"/>
        <w:autoSpaceDN w:val="0"/>
        <w:adjustRightInd w:val="0"/>
        <w:jc w:val="both"/>
        <w:rPr>
          <w:szCs w:val="24"/>
        </w:rPr>
      </w:pPr>
    </w:p>
    <w:p w:rsidR="00664F47" w:rsidRPr="00F03222" w:rsidRDefault="00664F47" w:rsidP="006258AE">
      <w:pPr>
        <w:widowControl/>
        <w:autoSpaceDE w:val="0"/>
        <w:autoSpaceDN w:val="0"/>
        <w:adjustRightInd w:val="0"/>
        <w:jc w:val="both"/>
        <w:rPr>
          <w:i/>
          <w:szCs w:val="24"/>
          <w:u w:val="single"/>
        </w:rPr>
      </w:pPr>
      <w:r w:rsidRPr="00F03222">
        <w:rPr>
          <w:i/>
          <w:szCs w:val="24"/>
          <w:u w:val="single"/>
        </w:rPr>
        <w:t>First Budget Development Workshop:</w:t>
      </w:r>
    </w:p>
    <w:p w:rsidR="00664F47" w:rsidRPr="00F03222" w:rsidRDefault="00664F47" w:rsidP="000C0B07">
      <w:pPr>
        <w:jc w:val="both"/>
        <w:rPr>
          <w:szCs w:val="24"/>
        </w:rPr>
      </w:pPr>
      <w:r w:rsidRPr="00F03222">
        <w:rPr>
          <w:szCs w:val="24"/>
        </w:rPr>
        <w:t>During the first budget development workshop, the Board provided initial direction for the FY2011/12 Tentative budget including a desire to maintain or decrease the County millage rate and decrease overall general fund budget by 5% to accommodate an anticipated reduction in ad-valorem revenues as predicted by the Property Appraiser.</w:t>
      </w:r>
    </w:p>
    <w:p w:rsidR="00664F47" w:rsidRPr="00F03222" w:rsidRDefault="00664F47" w:rsidP="00CA2B88">
      <w:pPr>
        <w:rPr>
          <w:szCs w:val="24"/>
        </w:rPr>
      </w:pPr>
    </w:p>
    <w:p w:rsidR="00664F47" w:rsidRPr="00F03222" w:rsidRDefault="00664F47" w:rsidP="00651FC0">
      <w:pPr>
        <w:jc w:val="both"/>
        <w:rPr>
          <w:i/>
          <w:szCs w:val="24"/>
          <w:u w:val="single"/>
        </w:rPr>
      </w:pPr>
      <w:r w:rsidRPr="00F03222">
        <w:rPr>
          <w:i/>
          <w:szCs w:val="24"/>
          <w:u w:val="single"/>
        </w:rPr>
        <w:t>Second Budget Development Workshop:</w:t>
      </w:r>
    </w:p>
    <w:p w:rsidR="00664F47" w:rsidRPr="00F03222" w:rsidRDefault="00664F47" w:rsidP="00701338">
      <w:pPr>
        <w:jc w:val="both"/>
        <w:rPr>
          <w:szCs w:val="24"/>
        </w:rPr>
      </w:pPr>
      <w:r w:rsidRPr="00F03222">
        <w:rPr>
          <w:szCs w:val="24"/>
        </w:rPr>
        <w:t xml:space="preserve">On May 5, 2011, the Board held the second budget development workshop of the FY2011/12 budget cycle. This workshop provided the Board with mid-year revenue and expenditure update of the current year budget and a legislative update on state revenue funding to be expected during the upcoming fiscal year.  </w:t>
      </w:r>
    </w:p>
    <w:p w:rsidR="00664F47" w:rsidRPr="00F03222" w:rsidRDefault="00664F47" w:rsidP="001443E6">
      <w:pPr>
        <w:jc w:val="both"/>
        <w:rPr>
          <w:bCs/>
          <w:szCs w:val="24"/>
        </w:rPr>
      </w:pPr>
    </w:p>
    <w:p w:rsidR="00664F47" w:rsidRPr="00F03222" w:rsidRDefault="00664F47" w:rsidP="001443E6">
      <w:pPr>
        <w:jc w:val="both"/>
        <w:rPr>
          <w:bCs/>
          <w:i/>
          <w:szCs w:val="24"/>
          <w:u w:val="single"/>
        </w:rPr>
      </w:pPr>
      <w:r w:rsidRPr="00F03222">
        <w:rPr>
          <w:bCs/>
          <w:i/>
          <w:szCs w:val="24"/>
          <w:u w:val="single"/>
        </w:rPr>
        <w:t>Third Budget Development Workshop:</w:t>
      </w:r>
    </w:p>
    <w:p w:rsidR="00664F47" w:rsidRPr="00F03222" w:rsidRDefault="00664F47" w:rsidP="001443E6">
      <w:pPr>
        <w:jc w:val="both"/>
        <w:rPr>
          <w:bCs/>
          <w:szCs w:val="24"/>
        </w:rPr>
      </w:pPr>
      <w:r w:rsidRPr="00F03222">
        <w:rPr>
          <w:bCs/>
          <w:szCs w:val="24"/>
        </w:rPr>
        <w:t>On June 23, 2011, the Board held the third budget development workshop (Attachment #1).  This workshop included a list of areas for consideration by the Board in the development of the FY2011/12 tentative budget.  This list included the following:</w:t>
      </w:r>
    </w:p>
    <w:p w:rsidR="00664F47" w:rsidRPr="00F03222" w:rsidRDefault="00664F47" w:rsidP="00D175C0">
      <w:pPr>
        <w:ind w:left="360"/>
        <w:jc w:val="both"/>
        <w:rPr>
          <w:bCs/>
          <w:szCs w:val="24"/>
        </w:rPr>
      </w:pPr>
    </w:p>
    <w:p w:rsidR="00664F47" w:rsidRPr="00F03222" w:rsidRDefault="00664F47" w:rsidP="00D175C0">
      <w:pPr>
        <w:pStyle w:val="ListParagraph"/>
        <w:numPr>
          <w:ilvl w:val="0"/>
          <w:numId w:val="36"/>
        </w:numPr>
        <w:jc w:val="both"/>
        <w:rPr>
          <w:rFonts w:ascii="Times New Roman" w:hAnsi="Times New Roman"/>
          <w:bCs/>
          <w:sz w:val="24"/>
          <w:szCs w:val="24"/>
        </w:rPr>
      </w:pPr>
      <w:r w:rsidRPr="00F03222">
        <w:rPr>
          <w:rFonts w:ascii="Times New Roman" w:hAnsi="Times New Roman"/>
          <w:bCs/>
          <w:sz w:val="24"/>
          <w:szCs w:val="24"/>
        </w:rPr>
        <w:t>Line Item Funding for Outside Agencies</w:t>
      </w:r>
    </w:p>
    <w:p w:rsidR="00664F47" w:rsidRPr="00F03222" w:rsidRDefault="00664F47" w:rsidP="00D175C0">
      <w:pPr>
        <w:pStyle w:val="ListParagraph"/>
        <w:numPr>
          <w:ilvl w:val="0"/>
          <w:numId w:val="36"/>
        </w:numPr>
        <w:jc w:val="both"/>
        <w:rPr>
          <w:rFonts w:ascii="Times New Roman" w:hAnsi="Times New Roman"/>
          <w:bCs/>
          <w:sz w:val="24"/>
          <w:szCs w:val="24"/>
        </w:rPr>
      </w:pPr>
      <w:r w:rsidRPr="00F03222">
        <w:rPr>
          <w:rFonts w:ascii="Times New Roman" w:hAnsi="Times New Roman"/>
          <w:bCs/>
          <w:sz w:val="24"/>
          <w:szCs w:val="24"/>
        </w:rPr>
        <w:t>Staff Furloughs</w:t>
      </w:r>
    </w:p>
    <w:p w:rsidR="00664F47" w:rsidRPr="00F03222" w:rsidRDefault="00664F47" w:rsidP="00D175C0">
      <w:pPr>
        <w:pStyle w:val="ListParagraph"/>
        <w:numPr>
          <w:ilvl w:val="0"/>
          <w:numId w:val="36"/>
        </w:numPr>
        <w:jc w:val="both"/>
        <w:rPr>
          <w:rFonts w:ascii="Times New Roman" w:hAnsi="Times New Roman"/>
          <w:bCs/>
          <w:sz w:val="24"/>
          <w:szCs w:val="24"/>
        </w:rPr>
      </w:pPr>
      <w:r w:rsidRPr="00F03222">
        <w:rPr>
          <w:rFonts w:ascii="Times New Roman" w:hAnsi="Times New Roman"/>
          <w:bCs/>
          <w:sz w:val="24"/>
          <w:szCs w:val="24"/>
        </w:rPr>
        <w:t>Increased Employee Participation in Health Care Premiums and Reduction to Flex Contributions</w:t>
      </w:r>
    </w:p>
    <w:p w:rsidR="00664F47" w:rsidRPr="00F03222" w:rsidRDefault="00664F47" w:rsidP="00D175C0">
      <w:pPr>
        <w:pStyle w:val="ListParagraph"/>
        <w:numPr>
          <w:ilvl w:val="0"/>
          <w:numId w:val="36"/>
        </w:numPr>
        <w:jc w:val="both"/>
        <w:rPr>
          <w:rFonts w:ascii="Times New Roman" w:hAnsi="Times New Roman"/>
          <w:bCs/>
          <w:sz w:val="24"/>
          <w:szCs w:val="24"/>
        </w:rPr>
      </w:pPr>
      <w:r w:rsidRPr="00F03222">
        <w:rPr>
          <w:rFonts w:ascii="Times New Roman" w:hAnsi="Times New Roman"/>
          <w:bCs/>
          <w:sz w:val="24"/>
          <w:szCs w:val="24"/>
        </w:rPr>
        <w:t>Direction to Constitutional Officers to Share in Cuts prescribed by the Board</w:t>
      </w:r>
    </w:p>
    <w:p w:rsidR="00664F47" w:rsidRPr="00F03222" w:rsidRDefault="00664F47" w:rsidP="00D175C0">
      <w:pPr>
        <w:pStyle w:val="ListParagraph"/>
        <w:numPr>
          <w:ilvl w:val="0"/>
          <w:numId w:val="36"/>
        </w:numPr>
        <w:jc w:val="both"/>
        <w:rPr>
          <w:rFonts w:ascii="Times New Roman" w:hAnsi="Times New Roman"/>
          <w:bCs/>
          <w:sz w:val="24"/>
          <w:szCs w:val="24"/>
        </w:rPr>
      </w:pPr>
      <w:r w:rsidRPr="00F03222">
        <w:rPr>
          <w:rFonts w:ascii="Times New Roman" w:hAnsi="Times New Roman"/>
          <w:bCs/>
          <w:sz w:val="24"/>
          <w:szCs w:val="24"/>
        </w:rPr>
        <w:t>Program/Service Reductions (including staff layoffs)</w:t>
      </w:r>
    </w:p>
    <w:p w:rsidR="00664F47" w:rsidRPr="00F03222" w:rsidRDefault="00664F47" w:rsidP="00D175C0">
      <w:pPr>
        <w:pStyle w:val="ListParagraph"/>
        <w:numPr>
          <w:ilvl w:val="0"/>
          <w:numId w:val="36"/>
        </w:numPr>
        <w:jc w:val="both"/>
        <w:rPr>
          <w:rFonts w:ascii="Times New Roman" w:hAnsi="Times New Roman"/>
          <w:bCs/>
          <w:sz w:val="24"/>
          <w:szCs w:val="24"/>
        </w:rPr>
      </w:pPr>
      <w:r w:rsidRPr="00F03222">
        <w:rPr>
          <w:rFonts w:ascii="Times New Roman" w:hAnsi="Times New Roman"/>
          <w:bCs/>
          <w:sz w:val="24"/>
          <w:szCs w:val="24"/>
        </w:rPr>
        <w:t>Millage rate options below the rolled back rate</w:t>
      </w:r>
    </w:p>
    <w:p w:rsidR="00664F47" w:rsidRPr="00F03222" w:rsidRDefault="00664F47" w:rsidP="00C07098">
      <w:pPr>
        <w:jc w:val="both"/>
        <w:rPr>
          <w:szCs w:val="24"/>
        </w:rPr>
      </w:pPr>
      <w:r w:rsidRPr="00F03222">
        <w:rPr>
          <w:szCs w:val="24"/>
        </w:rPr>
        <w:t>At the Third Budget Development workshop held on June 23, 2011, the Board gave direction to complete the FY2011/12 Tentative Budget utilizing an 8.75 millage rate.  In addition to the workshop, the Board also held a public hearing on June 21, 2011 to discuss and ultimately approve an increase to the Communication Service Tax(CST) from 1.84% to 5.22% and the implementation of a Public Service Tax(PST) at a rate of 10%.  Since the direction given by the Board at the 3</w:t>
      </w:r>
      <w:r w:rsidRPr="00F03222">
        <w:rPr>
          <w:szCs w:val="24"/>
          <w:vertAlign w:val="superscript"/>
        </w:rPr>
        <w:t>rd</w:t>
      </w:r>
      <w:r w:rsidRPr="00F03222">
        <w:rPr>
          <w:szCs w:val="24"/>
        </w:rPr>
        <w:t xml:space="preserve"> budget development workshop and public hearing, the FY2011/12 Tentative Budget has been balanced and presented to the Board and Constitutional Officers on July 15, 2011.</w:t>
      </w:r>
    </w:p>
    <w:p w:rsidR="00664F47" w:rsidRPr="00F03222" w:rsidRDefault="00664F47" w:rsidP="006258AE">
      <w:pPr>
        <w:jc w:val="both"/>
        <w:rPr>
          <w:b/>
          <w:szCs w:val="24"/>
          <w:u w:val="single"/>
        </w:rPr>
      </w:pPr>
    </w:p>
    <w:p w:rsidR="00664F47" w:rsidRDefault="00664F47" w:rsidP="006258AE">
      <w:pPr>
        <w:jc w:val="both"/>
        <w:rPr>
          <w:szCs w:val="24"/>
        </w:rPr>
      </w:pPr>
      <w:r w:rsidRPr="00F03222">
        <w:rPr>
          <w:szCs w:val="24"/>
        </w:rPr>
        <w:t>This the Fourth Budget Development workshop</w:t>
      </w:r>
      <w:r>
        <w:rPr>
          <w:szCs w:val="24"/>
        </w:rPr>
        <w:t xml:space="preserve"> schedule for the FY2011/12 budget cycle. This workshop</w:t>
      </w:r>
      <w:r w:rsidRPr="00F03222">
        <w:rPr>
          <w:szCs w:val="24"/>
        </w:rPr>
        <w:t xml:space="preserve"> will provide the board with an update to the Tentative FY2011/12 budget and address </w:t>
      </w:r>
      <w:r>
        <w:rPr>
          <w:szCs w:val="24"/>
        </w:rPr>
        <w:t xml:space="preserve">items </w:t>
      </w:r>
      <w:r w:rsidRPr="00F03222">
        <w:rPr>
          <w:szCs w:val="24"/>
        </w:rPr>
        <w:t>not discussed at previous workshops</w:t>
      </w:r>
      <w:r>
        <w:rPr>
          <w:szCs w:val="24"/>
        </w:rPr>
        <w:t>.  The 4 main topics of discussion for this workshop will be the</w:t>
      </w:r>
      <w:r w:rsidRPr="00F03222">
        <w:rPr>
          <w:szCs w:val="24"/>
        </w:rPr>
        <w:t xml:space="preserve"> following</w:t>
      </w:r>
      <w:r>
        <w:rPr>
          <w:szCs w:val="24"/>
        </w:rPr>
        <w:t xml:space="preserve">: </w:t>
      </w:r>
    </w:p>
    <w:p w:rsidR="00664F47" w:rsidRPr="00F03222" w:rsidRDefault="00664F47" w:rsidP="003842BA">
      <w:pPr>
        <w:pStyle w:val="ListParagraph"/>
        <w:numPr>
          <w:ilvl w:val="0"/>
          <w:numId w:val="48"/>
        </w:numPr>
        <w:jc w:val="both"/>
        <w:rPr>
          <w:rFonts w:ascii="Times New Roman" w:hAnsi="Times New Roman"/>
          <w:sz w:val="24"/>
          <w:szCs w:val="24"/>
        </w:rPr>
      </w:pPr>
      <w:r>
        <w:rPr>
          <w:rFonts w:ascii="Times New Roman" w:hAnsi="Times New Roman"/>
          <w:sz w:val="24"/>
          <w:szCs w:val="24"/>
        </w:rPr>
        <w:t>Summary Budget Comparison FY2006/07 to FY2011/12</w:t>
      </w:r>
    </w:p>
    <w:p w:rsidR="00664F47" w:rsidRDefault="00664F47" w:rsidP="00B03086">
      <w:pPr>
        <w:pStyle w:val="ListParagraph"/>
        <w:numPr>
          <w:ilvl w:val="0"/>
          <w:numId w:val="48"/>
        </w:numPr>
        <w:jc w:val="both"/>
        <w:rPr>
          <w:rFonts w:ascii="Times New Roman" w:hAnsi="Times New Roman"/>
          <w:sz w:val="24"/>
          <w:szCs w:val="24"/>
        </w:rPr>
      </w:pPr>
      <w:r w:rsidRPr="00F03222">
        <w:rPr>
          <w:rFonts w:ascii="Times New Roman" w:hAnsi="Times New Roman"/>
          <w:sz w:val="24"/>
          <w:szCs w:val="24"/>
        </w:rPr>
        <w:t>Highlights from the Tentative Budget</w:t>
      </w:r>
    </w:p>
    <w:p w:rsidR="00664F47" w:rsidRPr="00F03222" w:rsidRDefault="00664F47" w:rsidP="00B03086">
      <w:pPr>
        <w:pStyle w:val="ListParagraph"/>
        <w:numPr>
          <w:ilvl w:val="0"/>
          <w:numId w:val="48"/>
        </w:numPr>
        <w:jc w:val="both"/>
        <w:rPr>
          <w:rFonts w:ascii="Times New Roman" w:hAnsi="Times New Roman"/>
          <w:sz w:val="24"/>
          <w:szCs w:val="24"/>
        </w:rPr>
      </w:pPr>
      <w:r w:rsidRPr="00F03222">
        <w:rPr>
          <w:rFonts w:ascii="Times New Roman" w:hAnsi="Times New Roman"/>
          <w:sz w:val="24"/>
          <w:szCs w:val="24"/>
        </w:rPr>
        <w:t>Health Insu</w:t>
      </w:r>
      <w:r>
        <w:rPr>
          <w:rFonts w:ascii="Times New Roman" w:hAnsi="Times New Roman"/>
          <w:sz w:val="24"/>
          <w:szCs w:val="24"/>
        </w:rPr>
        <w:t>rance Premium Options</w:t>
      </w:r>
    </w:p>
    <w:p w:rsidR="00664F47" w:rsidRDefault="00664F47" w:rsidP="00B03086">
      <w:pPr>
        <w:pStyle w:val="ListParagraph"/>
        <w:numPr>
          <w:ilvl w:val="0"/>
          <w:numId w:val="48"/>
        </w:numPr>
        <w:jc w:val="both"/>
        <w:rPr>
          <w:rFonts w:ascii="Times New Roman" w:hAnsi="Times New Roman"/>
          <w:sz w:val="24"/>
          <w:szCs w:val="24"/>
        </w:rPr>
      </w:pPr>
      <w:r w:rsidRPr="00F03222">
        <w:rPr>
          <w:rFonts w:ascii="Times New Roman" w:hAnsi="Times New Roman"/>
          <w:sz w:val="24"/>
          <w:szCs w:val="24"/>
        </w:rPr>
        <w:t>Capital Improvement Plan Updates</w:t>
      </w:r>
    </w:p>
    <w:p w:rsidR="00664F47" w:rsidRPr="00F03222" w:rsidRDefault="00664F47" w:rsidP="006258AE">
      <w:pPr>
        <w:jc w:val="both"/>
        <w:rPr>
          <w:szCs w:val="24"/>
        </w:rPr>
      </w:pPr>
      <w:r w:rsidRPr="00F03222">
        <w:rPr>
          <w:b/>
          <w:szCs w:val="24"/>
          <w:u w:val="single"/>
        </w:rPr>
        <w:t>Analysis</w:t>
      </w:r>
    </w:p>
    <w:p w:rsidR="00664F47" w:rsidRPr="00F03222" w:rsidRDefault="00664F47" w:rsidP="00C07098">
      <w:pPr>
        <w:jc w:val="both"/>
        <w:rPr>
          <w:szCs w:val="24"/>
        </w:rPr>
      </w:pPr>
    </w:p>
    <w:p w:rsidR="00664F47" w:rsidRPr="003842BA" w:rsidRDefault="00664F47" w:rsidP="00C07098">
      <w:pPr>
        <w:jc w:val="both"/>
        <w:rPr>
          <w:b/>
          <w:szCs w:val="24"/>
          <w:u w:val="single"/>
        </w:rPr>
      </w:pPr>
      <w:r w:rsidRPr="003842BA">
        <w:rPr>
          <w:b/>
          <w:szCs w:val="24"/>
          <w:u w:val="single"/>
        </w:rPr>
        <w:t>Summary Fiscal Year Comparison from FY2006/07 to FY2011/12</w:t>
      </w:r>
    </w:p>
    <w:p w:rsidR="00664F47" w:rsidRPr="00F03222" w:rsidRDefault="00664F47" w:rsidP="00C07098">
      <w:pPr>
        <w:jc w:val="both"/>
        <w:rPr>
          <w:szCs w:val="24"/>
        </w:rPr>
      </w:pPr>
      <w:r w:rsidRPr="00F03222">
        <w:rPr>
          <w:szCs w:val="24"/>
        </w:rPr>
        <w:t xml:space="preserve">The FY2011/12 tentative general fund budget is $195,138 less than the FY2006/07 budget. The follow table provides </w:t>
      </w:r>
      <w:r>
        <w:rPr>
          <w:szCs w:val="24"/>
        </w:rPr>
        <w:t>a brief summarization of the</w:t>
      </w:r>
      <w:r w:rsidRPr="00F03222">
        <w:rPr>
          <w:szCs w:val="24"/>
        </w:rPr>
        <w:t xml:space="preserve"> comparison of allocations between fiscal year 2006/07 and 2011/12.</w:t>
      </w:r>
      <w:r>
        <w:rPr>
          <w:szCs w:val="24"/>
        </w:rPr>
        <w:t xml:space="preserve"> (The full table is included in Attachment #2).</w:t>
      </w:r>
    </w:p>
    <w:p w:rsidR="00664F47" w:rsidRDefault="00664F47" w:rsidP="00C07098">
      <w:pPr>
        <w:jc w:val="both"/>
        <w:rPr>
          <w:szCs w:val="24"/>
        </w:rPr>
      </w:pPr>
    </w:p>
    <w:p w:rsidR="00664F47" w:rsidRPr="00F03222" w:rsidRDefault="00664F47" w:rsidP="00C07098">
      <w:pPr>
        <w:jc w:val="both"/>
        <w:rPr>
          <w:szCs w:val="24"/>
        </w:rPr>
      </w:pPr>
      <w:r w:rsidRPr="00F03222">
        <w:rPr>
          <w:szCs w:val="24"/>
        </w:rPr>
        <w:t>Table 1</w:t>
      </w: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7"/>
        <w:gridCol w:w="1193"/>
        <w:gridCol w:w="1246"/>
        <w:gridCol w:w="1206"/>
        <w:gridCol w:w="1216"/>
        <w:gridCol w:w="1479"/>
      </w:tblGrid>
      <w:tr w:rsidR="00664F47" w:rsidRPr="00F03222" w:rsidTr="00051A26">
        <w:trPr>
          <w:trHeight w:val="245"/>
        </w:trPr>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06-07 to 10-11 Budget / Actual Review</w:t>
            </w:r>
          </w:p>
        </w:tc>
        <w:tc>
          <w:tcPr>
            <w:tcW w:w="0" w:type="auto"/>
            <w:noWrap/>
            <w:vAlign w:val="bottom"/>
          </w:tcPr>
          <w:p w:rsidR="00664F47" w:rsidRPr="00F03222" w:rsidRDefault="00664F47" w:rsidP="00246E4C">
            <w:pPr>
              <w:widowControl/>
              <w:rPr>
                <w:color w:val="000000"/>
                <w:sz w:val="18"/>
                <w:szCs w:val="18"/>
              </w:rPr>
            </w:pPr>
          </w:p>
        </w:tc>
        <w:tc>
          <w:tcPr>
            <w:tcW w:w="0" w:type="auto"/>
            <w:vAlign w:val="bottom"/>
          </w:tcPr>
          <w:p w:rsidR="00664F47" w:rsidRPr="00F03222" w:rsidRDefault="00664F47">
            <w:pPr>
              <w:jc w:val="center"/>
              <w:rPr>
                <w:color w:val="000000"/>
                <w:sz w:val="20"/>
              </w:rPr>
            </w:pPr>
          </w:p>
        </w:tc>
        <w:tc>
          <w:tcPr>
            <w:tcW w:w="0" w:type="auto"/>
            <w:noWrap/>
            <w:vAlign w:val="bottom"/>
          </w:tcPr>
          <w:p w:rsidR="00664F47" w:rsidRPr="00F03222" w:rsidRDefault="00664F47" w:rsidP="00246E4C">
            <w:pPr>
              <w:widowControl/>
              <w:rPr>
                <w:color w:val="000000"/>
                <w:sz w:val="18"/>
                <w:szCs w:val="18"/>
              </w:rPr>
            </w:pPr>
          </w:p>
        </w:tc>
        <w:tc>
          <w:tcPr>
            <w:tcW w:w="0" w:type="auto"/>
            <w:noWrap/>
            <w:vAlign w:val="bottom"/>
          </w:tcPr>
          <w:p w:rsidR="00664F47" w:rsidRPr="00F03222" w:rsidRDefault="00664F47" w:rsidP="00246E4C">
            <w:pPr>
              <w:widowControl/>
              <w:rPr>
                <w:color w:val="000000"/>
                <w:sz w:val="18"/>
                <w:szCs w:val="18"/>
              </w:rPr>
            </w:pPr>
          </w:p>
        </w:tc>
        <w:tc>
          <w:tcPr>
            <w:tcW w:w="0" w:type="auto"/>
            <w:noWrap/>
            <w:vAlign w:val="bottom"/>
          </w:tcPr>
          <w:p w:rsidR="00664F47" w:rsidRPr="00F03222" w:rsidRDefault="00664F47" w:rsidP="00246E4C">
            <w:pPr>
              <w:widowControl/>
              <w:rPr>
                <w:color w:val="000000"/>
                <w:sz w:val="18"/>
                <w:szCs w:val="18"/>
              </w:rPr>
            </w:pPr>
          </w:p>
        </w:tc>
      </w:tr>
      <w:tr w:rsidR="00664F47" w:rsidRPr="00F03222" w:rsidTr="00051A26">
        <w:trPr>
          <w:trHeight w:val="734"/>
        </w:trPr>
        <w:tc>
          <w:tcPr>
            <w:tcW w:w="0" w:type="auto"/>
            <w:vAlign w:val="bottom"/>
          </w:tcPr>
          <w:p w:rsidR="00664F47" w:rsidRPr="00F03222" w:rsidRDefault="00664F47" w:rsidP="00246E4C">
            <w:pPr>
              <w:widowControl/>
              <w:rPr>
                <w:color w:val="000000"/>
                <w:sz w:val="18"/>
                <w:szCs w:val="18"/>
              </w:rPr>
            </w:pPr>
            <w:r w:rsidRPr="00F03222">
              <w:rPr>
                <w:color w:val="000000"/>
                <w:sz w:val="18"/>
                <w:szCs w:val="18"/>
              </w:rPr>
              <w:t>Office</w:t>
            </w:r>
          </w:p>
        </w:tc>
        <w:tc>
          <w:tcPr>
            <w:tcW w:w="0" w:type="auto"/>
            <w:vAlign w:val="bottom"/>
          </w:tcPr>
          <w:p w:rsidR="00664F47" w:rsidRPr="00F03222" w:rsidRDefault="00664F47" w:rsidP="00246E4C">
            <w:pPr>
              <w:widowControl/>
              <w:jc w:val="center"/>
              <w:rPr>
                <w:color w:val="000000"/>
                <w:sz w:val="18"/>
                <w:szCs w:val="18"/>
              </w:rPr>
            </w:pPr>
            <w:r w:rsidRPr="00F03222">
              <w:rPr>
                <w:color w:val="000000"/>
                <w:sz w:val="18"/>
                <w:szCs w:val="18"/>
              </w:rPr>
              <w:t>06-07 Budget</w:t>
            </w:r>
          </w:p>
        </w:tc>
        <w:tc>
          <w:tcPr>
            <w:tcW w:w="0" w:type="auto"/>
            <w:vAlign w:val="bottom"/>
          </w:tcPr>
          <w:p w:rsidR="00664F47" w:rsidRPr="00F03222" w:rsidRDefault="00664F47" w:rsidP="00435773">
            <w:pPr>
              <w:widowControl/>
              <w:jc w:val="center"/>
              <w:rPr>
                <w:color w:val="000000"/>
                <w:sz w:val="18"/>
                <w:szCs w:val="18"/>
              </w:rPr>
            </w:pPr>
            <w:r w:rsidRPr="00F03222">
              <w:rPr>
                <w:color w:val="000000"/>
                <w:sz w:val="18"/>
                <w:szCs w:val="18"/>
              </w:rPr>
              <w:t>10-11 Budget Amended</w:t>
            </w:r>
          </w:p>
        </w:tc>
        <w:tc>
          <w:tcPr>
            <w:tcW w:w="0" w:type="auto"/>
            <w:vAlign w:val="bottom"/>
          </w:tcPr>
          <w:p w:rsidR="00664F47" w:rsidRPr="00F03222" w:rsidRDefault="00664F47" w:rsidP="00246E4C">
            <w:pPr>
              <w:widowControl/>
              <w:jc w:val="center"/>
              <w:rPr>
                <w:color w:val="000000"/>
                <w:sz w:val="18"/>
                <w:szCs w:val="18"/>
              </w:rPr>
            </w:pPr>
            <w:r w:rsidRPr="00F03222">
              <w:rPr>
                <w:color w:val="000000"/>
                <w:sz w:val="18"/>
                <w:szCs w:val="18"/>
              </w:rPr>
              <w:t>11-12 Proposed</w:t>
            </w:r>
          </w:p>
        </w:tc>
        <w:tc>
          <w:tcPr>
            <w:tcW w:w="0" w:type="auto"/>
            <w:vAlign w:val="bottom"/>
          </w:tcPr>
          <w:p w:rsidR="00664F47" w:rsidRPr="00F03222" w:rsidRDefault="00664F47" w:rsidP="00246E4C">
            <w:pPr>
              <w:widowControl/>
              <w:jc w:val="center"/>
              <w:rPr>
                <w:color w:val="000000"/>
                <w:sz w:val="18"/>
                <w:szCs w:val="18"/>
              </w:rPr>
            </w:pPr>
            <w:r w:rsidRPr="00F03222">
              <w:rPr>
                <w:color w:val="000000"/>
                <w:sz w:val="18"/>
                <w:szCs w:val="18"/>
              </w:rPr>
              <w:t>% Change 10-11 Amended</w:t>
            </w:r>
          </w:p>
        </w:tc>
        <w:tc>
          <w:tcPr>
            <w:tcW w:w="0" w:type="auto"/>
            <w:vAlign w:val="bottom"/>
          </w:tcPr>
          <w:p w:rsidR="00664F47" w:rsidRPr="00F03222" w:rsidRDefault="00664F47" w:rsidP="00246E4C">
            <w:pPr>
              <w:widowControl/>
              <w:jc w:val="center"/>
              <w:rPr>
                <w:color w:val="000000"/>
                <w:sz w:val="18"/>
                <w:szCs w:val="18"/>
              </w:rPr>
            </w:pPr>
            <w:r w:rsidRPr="00F03222">
              <w:rPr>
                <w:color w:val="000000"/>
                <w:sz w:val="18"/>
                <w:szCs w:val="18"/>
              </w:rPr>
              <w:t>Proposed Budget Total + / - Over 06-07 FY</w:t>
            </w:r>
          </w:p>
        </w:tc>
      </w:tr>
      <w:tr w:rsidR="00664F47" w:rsidRPr="00F03222" w:rsidTr="00051A26">
        <w:trPr>
          <w:trHeight w:val="245"/>
        </w:trPr>
        <w:tc>
          <w:tcPr>
            <w:tcW w:w="0" w:type="auto"/>
            <w:noWrap/>
            <w:vAlign w:val="bottom"/>
          </w:tcPr>
          <w:p w:rsidR="00664F47" w:rsidRPr="00F03222" w:rsidRDefault="00664F47" w:rsidP="00F110F3">
            <w:pPr>
              <w:widowControl/>
              <w:rPr>
                <w:color w:val="000000"/>
                <w:sz w:val="18"/>
                <w:szCs w:val="18"/>
              </w:rPr>
            </w:pPr>
            <w:r w:rsidRPr="00F03222">
              <w:rPr>
                <w:color w:val="000000"/>
                <w:sz w:val="18"/>
                <w:szCs w:val="18"/>
              </w:rPr>
              <w:t xml:space="preserve">BoCC Budget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8,838,339 </w:t>
            </w:r>
          </w:p>
        </w:tc>
        <w:tc>
          <w:tcPr>
            <w:tcW w:w="0" w:type="auto"/>
            <w:vAlign w:val="bottom"/>
          </w:tcPr>
          <w:p w:rsidR="00664F47" w:rsidRPr="00F03222" w:rsidRDefault="00664F47" w:rsidP="00435773">
            <w:pPr>
              <w:widowControl/>
              <w:jc w:val="center"/>
              <w:rPr>
                <w:color w:val="000000"/>
                <w:sz w:val="18"/>
                <w:szCs w:val="18"/>
              </w:rPr>
            </w:pPr>
            <w:r w:rsidRPr="00F03222">
              <w:rPr>
                <w:color w:val="000000"/>
                <w:sz w:val="18"/>
                <w:szCs w:val="18"/>
              </w:rPr>
              <w:t xml:space="preserve">    6,533,177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6,304,321 </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-3.50%</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-28.67%</w:t>
            </w:r>
          </w:p>
        </w:tc>
      </w:tr>
      <w:tr w:rsidR="00664F47" w:rsidRPr="00F03222" w:rsidTr="00051A26">
        <w:trPr>
          <w:trHeight w:val="245"/>
        </w:trPr>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less amounts moved to other funds</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(2,232,691)</w:t>
            </w:r>
          </w:p>
        </w:tc>
        <w:tc>
          <w:tcPr>
            <w:tcW w:w="0" w:type="auto"/>
            <w:vAlign w:val="bottom"/>
          </w:tcPr>
          <w:p w:rsidR="00664F47" w:rsidRPr="00F03222" w:rsidRDefault="00664F47" w:rsidP="00435773">
            <w:pPr>
              <w:widowControl/>
              <w:jc w:val="center"/>
              <w:rPr>
                <w:color w:val="000000"/>
                <w:sz w:val="18"/>
                <w:szCs w:val="18"/>
              </w:rPr>
            </w:pPr>
            <w:r w:rsidRPr="00F03222">
              <w:rPr>
                <w:color w:val="000000"/>
                <w:sz w:val="18"/>
                <w:szCs w:val="18"/>
              </w:rPr>
              <w:t xml:space="preserve">                   -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w:t>
            </w:r>
          </w:p>
        </w:tc>
      </w:tr>
      <w:tr w:rsidR="00664F47" w:rsidRPr="00F03222" w:rsidTr="00051A26">
        <w:trPr>
          <w:trHeight w:val="245"/>
        </w:trPr>
        <w:tc>
          <w:tcPr>
            <w:tcW w:w="0" w:type="auto"/>
            <w:noWrap/>
            <w:vAlign w:val="bottom"/>
          </w:tcPr>
          <w:p w:rsidR="00664F47" w:rsidRPr="00F03222" w:rsidRDefault="00664F47" w:rsidP="00F110F3">
            <w:pPr>
              <w:widowControl/>
              <w:rPr>
                <w:color w:val="000000"/>
                <w:sz w:val="18"/>
                <w:szCs w:val="18"/>
              </w:rPr>
            </w:pPr>
            <w:r w:rsidRPr="00F03222">
              <w:rPr>
                <w:color w:val="000000"/>
                <w:sz w:val="18"/>
                <w:szCs w:val="18"/>
              </w:rPr>
              <w:t xml:space="preserve">BoCC Budget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6,605,648 </w:t>
            </w:r>
          </w:p>
        </w:tc>
        <w:tc>
          <w:tcPr>
            <w:tcW w:w="0" w:type="auto"/>
            <w:vAlign w:val="bottom"/>
          </w:tcPr>
          <w:p w:rsidR="00664F47" w:rsidRPr="00F03222" w:rsidRDefault="00664F47" w:rsidP="00435773">
            <w:pPr>
              <w:widowControl/>
              <w:jc w:val="center"/>
              <w:rPr>
                <w:color w:val="000000"/>
                <w:sz w:val="18"/>
                <w:szCs w:val="18"/>
              </w:rPr>
            </w:pPr>
            <w:r w:rsidRPr="00F03222">
              <w:rPr>
                <w:color w:val="000000"/>
                <w:sz w:val="18"/>
                <w:szCs w:val="18"/>
              </w:rPr>
              <w:t xml:space="preserve">    6,533,177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6,304,321 </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-3.50%</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-4.56%</w:t>
            </w:r>
          </w:p>
        </w:tc>
      </w:tr>
      <w:tr w:rsidR="00664F47" w:rsidRPr="00F03222" w:rsidTr="00051A26">
        <w:trPr>
          <w:trHeight w:val="245"/>
        </w:trPr>
        <w:tc>
          <w:tcPr>
            <w:tcW w:w="0" w:type="auto"/>
            <w:noWrap/>
            <w:vAlign w:val="bottom"/>
          </w:tcPr>
          <w:p w:rsidR="00664F47" w:rsidRPr="00F03222" w:rsidRDefault="00664F47" w:rsidP="00246E4C">
            <w:pPr>
              <w:widowControl/>
              <w:rPr>
                <w:color w:val="000000"/>
                <w:sz w:val="18"/>
                <w:szCs w:val="18"/>
              </w:rPr>
            </w:pPr>
          </w:p>
        </w:tc>
        <w:tc>
          <w:tcPr>
            <w:tcW w:w="0" w:type="auto"/>
            <w:noWrap/>
            <w:vAlign w:val="bottom"/>
          </w:tcPr>
          <w:p w:rsidR="00664F47" w:rsidRPr="00F03222" w:rsidRDefault="00664F47" w:rsidP="00246E4C">
            <w:pPr>
              <w:widowControl/>
              <w:rPr>
                <w:color w:val="000000"/>
                <w:sz w:val="18"/>
                <w:szCs w:val="18"/>
              </w:rPr>
            </w:pPr>
          </w:p>
        </w:tc>
        <w:tc>
          <w:tcPr>
            <w:tcW w:w="0" w:type="auto"/>
            <w:vAlign w:val="bottom"/>
          </w:tcPr>
          <w:p w:rsidR="00664F47" w:rsidRPr="00F03222" w:rsidRDefault="00664F47" w:rsidP="00435773">
            <w:pPr>
              <w:widowControl/>
              <w:jc w:val="center"/>
              <w:rPr>
                <w:color w:val="000000"/>
                <w:sz w:val="18"/>
                <w:szCs w:val="18"/>
              </w:rPr>
            </w:pPr>
          </w:p>
        </w:tc>
        <w:tc>
          <w:tcPr>
            <w:tcW w:w="0" w:type="auto"/>
            <w:noWrap/>
            <w:vAlign w:val="bottom"/>
          </w:tcPr>
          <w:p w:rsidR="00664F47" w:rsidRPr="00F03222" w:rsidRDefault="00664F47" w:rsidP="00246E4C">
            <w:pPr>
              <w:widowControl/>
              <w:rPr>
                <w:color w:val="000000"/>
                <w:sz w:val="18"/>
                <w:szCs w:val="18"/>
              </w:rPr>
            </w:pPr>
          </w:p>
        </w:tc>
        <w:tc>
          <w:tcPr>
            <w:tcW w:w="0" w:type="auto"/>
            <w:noWrap/>
            <w:vAlign w:val="bottom"/>
          </w:tcPr>
          <w:p w:rsidR="00664F47" w:rsidRPr="00F03222" w:rsidRDefault="00664F47" w:rsidP="00246E4C">
            <w:pPr>
              <w:widowControl/>
              <w:rPr>
                <w:color w:val="000000"/>
                <w:sz w:val="18"/>
                <w:szCs w:val="18"/>
              </w:rPr>
            </w:pPr>
          </w:p>
        </w:tc>
        <w:tc>
          <w:tcPr>
            <w:tcW w:w="0" w:type="auto"/>
            <w:noWrap/>
            <w:vAlign w:val="bottom"/>
          </w:tcPr>
          <w:p w:rsidR="00664F47" w:rsidRPr="00F03222" w:rsidRDefault="00664F47" w:rsidP="00246E4C">
            <w:pPr>
              <w:widowControl/>
              <w:rPr>
                <w:color w:val="000000"/>
                <w:sz w:val="18"/>
                <w:szCs w:val="18"/>
              </w:rPr>
            </w:pPr>
          </w:p>
        </w:tc>
      </w:tr>
      <w:tr w:rsidR="00664F47" w:rsidRPr="00F03222" w:rsidTr="00051A26">
        <w:trPr>
          <w:trHeight w:val="245"/>
        </w:trPr>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Clerk</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442,134 </w:t>
            </w:r>
          </w:p>
        </w:tc>
        <w:tc>
          <w:tcPr>
            <w:tcW w:w="0" w:type="auto"/>
            <w:vAlign w:val="bottom"/>
          </w:tcPr>
          <w:p w:rsidR="00664F47" w:rsidRPr="00F03222" w:rsidRDefault="00664F47" w:rsidP="00435773">
            <w:pPr>
              <w:widowControl/>
              <w:jc w:val="center"/>
              <w:rPr>
                <w:color w:val="000000"/>
                <w:sz w:val="18"/>
                <w:szCs w:val="18"/>
              </w:rPr>
            </w:pPr>
            <w:r w:rsidRPr="00F03222">
              <w:rPr>
                <w:color w:val="000000"/>
                <w:sz w:val="18"/>
                <w:szCs w:val="18"/>
              </w:rPr>
              <w:t xml:space="preserve">        432,993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416,568 </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-3.79%</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-5.78%</w:t>
            </w:r>
          </w:p>
        </w:tc>
      </w:tr>
      <w:tr w:rsidR="00664F47" w:rsidRPr="00F03222" w:rsidTr="00051A26">
        <w:trPr>
          <w:trHeight w:val="245"/>
        </w:trPr>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Prop Appraiser</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945,388 </w:t>
            </w:r>
          </w:p>
        </w:tc>
        <w:tc>
          <w:tcPr>
            <w:tcW w:w="0" w:type="auto"/>
            <w:vAlign w:val="bottom"/>
          </w:tcPr>
          <w:p w:rsidR="00664F47" w:rsidRPr="00F03222" w:rsidRDefault="00664F47" w:rsidP="00435773">
            <w:pPr>
              <w:widowControl/>
              <w:jc w:val="center"/>
              <w:rPr>
                <w:color w:val="000000"/>
                <w:sz w:val="18"/>
                <w:szCs w:val="18"/>
              </w:rPr>
            </w:pPr>
            <w:r w:rsidRPr="00F03222">
              <w:rPr>
                <w:color w:val="000000"/>
                <w:sz w:val="18"/>
                <w:szCs w:val="18"/>
              </w:rPr>
              <w:t xml:space="preserve">        939,681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935,298 </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-2.95%</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-1.07%</w:t>
            </w:r>
          </w:p>
        </w:tc>
      </w:tr>
      <w:tr w:rsidR="00664F47" w:rsidRPr="00F03222" w:rsidTr="00051A26">
        <w:trPr>
          <w:trHeight w:val="245"/>
        </w:trPr>
        <w:tc>
          <w:tcPr>
            <w:tcW w:w="0" w:type="auto"/>
            <w:noWrap/>
            <w:vAlign w:val="bottom"/>
          </w:tcPr>
          <w:p w:rsidR="00664F47" w:rsidRPr="00F03222" w:rsidRDefault="00664F47" w:rsidP="00CE6013">
            <w:pPr>
              <w:widowControl/>
              <w:rPr>
                <w:color w:val="000000"/>
                <w:sz w:val="18"/>
                <w:szCs w:val="18"/>
              </w:rPr>
            </w:pPr>
            <w:r w:rsidRPr="00F03222">
              <w:rPr>
                <w:color w:val="000000"/>
                <w:sz w:val="18"/>
                <w:szCs w:val="18"/>
              </w:rPr>
              <w:t>Sheriff</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9,644,185 </w:t>
            </w:r>
          </w:p>
        </w:tc>
        <w:tc>
          <w:tcPr>
            <w:tcW w:w="0" w:type="auto"/>
            <w:vAlign w:val="bottom"/>
          </w:tcPr>
          <w:p w:rsidR="00664F47" w:rsidRPr="00F03222" w:rsidRDefault="00664F47" w:rsidP="00435773">
            <w:pPr>
              <w:widowControl/>
              <w:jc w:val="center"/>
              <w:rPr>
                <w:color w:val="000000"/>
                <w:sz w:val="18"/>
                <w:szCs w:val="18"/>
              </w:rPr>
            </w:pPr>
            <w:r w:rsidRPr="00F03222">
              <w:rPr>
                <w:color w:val="000000"/>
                <w:sz w:val="18"/>
                <w:szCs w:val="18"/>
              </w:rPr>
              <w:t xml:space="preserve">    9,992,156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9,797,070 </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-5.73%</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1.59%</w:t>
            </w:r>
          </w:p>
        </w:tc>
      </w:tr>
      <w:tr w:rsidR="00664F47" w:rsidRPr="00F03222" w:rsidTr="00051A26">
        <w:trPr>
          <w:trHeight w:val="245"/>
        </w:trPr>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Sup of Elections</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386,241 </w:t>
            </w:r>
          </w:p>
        </w:tc>
        <w:tc>
          <w:tcPr>
            <w:tcW w:w="0" w:type="auto"/>
            <w:vAlign w:val="bottom"/>
          </w:tcPr>
          <w:p w:rsidR="00664F47" w:rsidRPr="00F03222" w:rsidRDefault="00664F47" w:rsidP="00435773">
            <w:pPr>
              <w:widowControl/>
              <w:jc w:val="center"/>
              <w:rPr>
                <w:color w:val="000000"/>
                <w:sz w:val="18"/>
                <w:szCs w:val="18"/>
              </w:rPr>
            </w:pPr>
            <w:r w:rsidRPr="00F03222">
              <w:rPr>
                <w:color w:val="000000"/>
                <w:sz w:val="18"/>
                <w:szCs w:val="18"/>
              </w:rPr>
              <w:t xml:space="preserve">        320,647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326,348 </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1.78%</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-15.51%</w:t>
            </w:r>
          </w:p>
        </w:tc>
      </w:tr>
      <w:tr w:rsidR="00664F47" w:rsidRPr="00F03222" w:rsidTr="00051A26">
        <w:trPr>
          <w:trHeight w:val="245"/>
        </w:trPr>
        <w:tc>
          <w:tcPr>
            <w:tcW w:w="0" w:type="auto"/>
            <w:noWrap/>
            <w:vAlign w:val="bottom"/>
          </w:tcPr>
          <w:p w:rsidR="00664F47" w:rsidRPr="00F03222" w:rsidRDefault="00664F47" w:rsidP="00CE6013">
            <w:pPr>
              <w:widowControl/>
              <w:rPr>
                <w:color w:val="000000"/>
                <w:sz w:val="18"/>
                <w:szCs w:val="18"/>
              </w:rPr>
            </w:pPr>
            <w:r w:rsidRPr="00F03222">
              <w:rPr>
                <w:color w:val="000000"/>
                <w:sz w:val="18"/>
                <w:szCs w:val="18"/>
              </w:rPr>
              <w:t>Tax Collector*</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623,732 </w:t>
            </w:r>
          </w:p>
        </w:tc>
        <w:tc>
          <w:tcPr>
            <w:tcW w:w="0" w:type="auto"/>
            <w:vAlign w:val="bottom"/>
          </w:tcPr>
          <w:p w:rsidR="00664F47" w:rsidRPr="00F03222" w:rsidRDefault="00664F47" w:rsidP="00435773">
            <w:pPr>
              <w:widowControl/>
              <w:jc w:val="center"/>
              <w:rPr>
                <w:color w:val="000000"/>
                <w:sz w:val="18"/>
                <w:szCs w:val="18"/>
              </w:rPr>
            </w:pPr>
            <w:r w:rsidRPr="00F03222">
              <w:rPr>
                <w:color w:val="000000"/>
                <w:sz w:val="18"/>
                <w:szCs w:val="18"/>
              </w:rPr>
              <w:t xml:space="preserve">        683,434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672,585 </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-1.59%</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7.83%</w:t>
            </w:r>
          </w:p>
        </w:tc>
      </w:tr>
      <w:tr w:rsidR="00664F47" w:rsidRPr="00F03222" w:rsidTr="00051A26">
        <w:trPr>
          <w:trHeight w:val="245"/>
        </w:trPr>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Total Budget GF &amp; Constitutionals</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20,880,019 </w:t>
            </w:r>
          </w:p>
        </w:tc>
        <w:tc>
          <w:tcPr>
            <w:tcW w:w="0" w:type="auto"/>
            <w:vAlign w:val="bottom"/>
          </w:tcPr>
          <w:p w:rsidR="00664F47" w:rsidRPr="00F03222" w:rsidRDefault="00664F47" w:rsidP="00435773">
            <w:pPr>
              <w:widowControl/>
              <w:jc w:val="center"/>
              <w:rPr>
                <w:color w:val="000000"/>
                <w:sz w:val="18"/>
                <w:szCs w:val="18"/>
              </w:rPr>
            </w:pPr>
            <w:r w:rsidRPr="00F03222">
              <w:rPr>
                <w:color w:val="000000"/>
                <w:sz w:val="18"/>
                <w:szCs w:val="18"/>
              </w:rPr>
              <w:t xml:space="preserve">  18,902,088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18,452,190 </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-4.52%</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-11.63%</w:t>
            </w:r>
          </w:p>
        </w:tc>
      </w:tr>
      <w:tr w:rsidR="00664F47" w:rsidRPr="00F03222" w:rsidTr="00051A26">
        <w:trPr>
          <w:trHeight w:val="245"/>
        </w:trPr>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Less amts moved or added</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(2,232,691)</w:t>
            </w:r>
          </w:p>
        </w:tc>
        <w:tc>
          <w:tcPr>
            <w:tcW w:w="0" w:type="auto"/>
            <w:vAlign w:val="bottom"/>
          </w:tcPr>
          <w:p w:rsidR="00664F47" w:rsidRPr="00F03222" w:rsidRDefault="00664F47" w:rsidP="00435773">
            <w:pPr>
              <w:widowControl/>
              <w:jc w:val="center"/>
              <w:rPr>
                <w:color w:val="000000"/>
                <w:sz w:val="18"/>
                <w:szCs w:val="18"/>
              </w:rPr>
            </w:pPr>
            <w:r w:rsidRPr="00F03222">
              <w:rPr>
                <w:color w:val="000000"/>
                <w:sz w:val="18"/>
                <w:szCs w:val="18"/>
              </w:rPr>
              <w:t xml:space="preserve">                   -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w:t>
            </w:r>
          </w:p>
        </w:tc>
      </w:tr>
      <w:tr w:rsidR="00664F47" w:rsidRPr="00F03222" w:rsidTr="00051A26">
        <w:trPr>
          <w:trHeight w:val="245"/>
        </w:trPr>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Net Total Budget GF &amp; Constitutionals</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18,647,328 </w:t>
            </w:r>
          </w:p>
        </w:tc>
        <w:tc>
          <w:tcPr>
            <w:tcW w:w="0" w:type="auto"/>
            <w:vAlign w:val="bottom"/>
          </w:tcPr>
          <w:p w:rsidR="00664F47" w:rsidRPr="00F03222" w:rsidRDefault="00664F47" w:rsidP="00435773">
            <w:pPr>
              <w:widowControl/>
              <w:jc w:val="center"/>
              <w:rPr>
                <w:color w:val="000000"/>
                <w:sz w:val="18"/>
                <w:szCs w:val="18"/>
              </w:rPr>
            </w:pPr>
            <w:r w:rsidRPr="00F03222">
              <w:rPr>
                <w:color w:val="000000"/>
                <w:sz w:val="18"/>
                <w:szCs w:val="18"/>
              </w:rPr>
              <w:t xml:space="preserve">  18,902,088 </w:t>
            </w:r>
          </w:p>
        </w:tc>
        <w:tc>
          <w:tcPr>
            <w:tcW w:w="0" w:type="auto"/>
            <w:noWrap/>
            <w:vAlign w:val="bottom"/>
          </w:tcPr>
          <w:p w:rsidR="00664F47" w:rsidRPr="00F03222" w:rsidRDefault="00664F47" w:rsidP="00246E4C">
            <w:pPr>
              <w:widowControl/>
              <w:rPr>
                <w:color w:val="000000"/>
                <w:sz w:val="18"/>
                <w:szCs w:val="18"/>
              </w:rPr>
            </w:pPr>
            <w:r w:rsidRPr="00F03222">
              <w:rPr>
                <w:color w:val="000000"/>
                <w:sz w:val="18"/>
                <w:szCs w:val="18"/>
              </w:rPr>
              <w:t xml:space="preserve">  18,452,190 </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-4.52%</w:t>
            </w:r>
          </w:p>
        </w:tc>
        <w:tc>
          <w:tcPr>
            <w:tcW w:w="0" w:type="auto"/>
            <w:noWrap/>
            <w:vAlign w:val="bottom"/>
          </w:tcPr>
          <w:p w:rsidR="00664F47" w:rsidRPr="00F03222" w:rsidRDefault="00664F47" w:rsidP="00246E4C">
            <w:pPr>
              <w:widowControl/>
              <w:jc w:val="right"/>
              <w:rPr>
                <w:color w:val="000000"/>
                <w:sz w:val="18"/>
                <w:szCs w:val="18"/>
              </w:rPr>
            </w:pPr>
            <w:r w:rsidRPr="00F03222">
              <w:rPr>
                <w:color w:val="000000"/>
                <w:sz w:val="18"/>
                <w:szCs w:val="18"/>
              </w:rPr>
              <w:t>-1.05%</w:t>
            </w:r>
          </w:p>
        </w:tc>
      </w:tr>
    </w:tbl>
    <w:p w:rsidR="00664F47" w:rsidRPr="00F03222" w:rsidRDefault="00664F47" w:rsidP="00C07098">
      <w:pPr>
        <w:jc w:val="both"/>
        <w:rPr>
          <w:sz w:val="18"/>
          <w:szCs w:val="18"/>
        </w:rPr>
      </w:pPr>
      <w:r w:rsidRPr="00F03222">
        <w:rPr>
          <w:sz w:val="18"/>
          <w:szCs w:val="18"/>
        </w:rPr>
        <w:t>*Includes the addition of the Drivers’ License Bureau to operating budget</w:t>
      </w:r>
    </w:p>
    <w:p w:rsidR="00664F47" w:rsidRPr="00F03222" w:rsidRDefault="00664F47" w:rsidP="00C07098">
      <w:pPr>
        <w:jc w:val="both"/>
        <w:rPr>
          <w:sz w:val="18"/>
          <w:szCs w:val="18"/>
        </w:rPr>
      </w:pPr>
    </w:p>
    <w:p w:rsidR="00664F47" w:rsidRPr="00F03222" w:rsidRDefault="00664F47" w:rsidP="00C07098">
      <w:pPr>
        <w:jc w:val="both"/>
        <w:rPr>
          <w:szCs w:val="24"/>
        </w:rPr>
      </w:pPr>
      <w:r w:rsidRPr="00F03222">
        <w:rPr>
          <w:szCs w:val="24"/>
        </w:rPr>
        <w:t xml:space="preserve">The table above prepared by the Clerk’s office, represents </w:t>
      </w:r>
      <w:r w:rsidRPr="00F03222">
        <w:rPr>
          <w:i/>
          <w:szCs w:val="24"/>
          <w:u w:val="single"/>
        </w:rPr>
        <w:t>actual</w:t>
      </w:r>
      <w:r w:rsidRPr="00F03222">
        <w:rPr>
          <w:szCs w:val="24"/>
        </w:rPr>
        <w:t xml:space="preserve"> operating budgets.  Reserves and funding transfers from other sources have been removed to reflect an actual net budgeted amount.  These figures are presented to the Board to provide a point of reference and illustrate where funding changes have occurred in the past five years.</w:t>
      </w:r>
    </w:p>
    <w:p w:rsidR="00664F47" w:rsidRPr="00F03222" w:rsidRDefault="00664F47" w:rsidP="004418F6">
      <w:pPr>
        <w:jc w:val="both"/>
        <w:rPr>
          <w:szCs w:val="24"/>
        </w:rPr>
      </w:pPr>
    </w:p>
    <w:p w:rsidR="00664F47" w:rsidRPr="003842BA" w:rsidRDefault="00664F47" w:rsidP="004418F6">
      <w:pPr>
        <w:jc w:val="both"/>
        <w:rPr>
          <w:b/>
          <w:szCs w:val="24"/>
          <w:u w:val="single"/>
        </w:rPr>
      </w:pPr>
      <w:r w:rsidRPr="003842BA">
        <w:rPr>
          <w:b/>
          <w:szCs w:val="24"/>
          <w:u w:val="single"/>
        </w:rPr>
        <w:t>Tentative Budget Highlights FY2011/12:</w:t>
      </w:r>
    </w:p>
    <w:p w:rsidR="00664F47" w:rsidRPr="00F03222" w:rsidRDefault="00664F47" w:rsidP="004418F6">
      <w:pPr>
        <w:jc w:val="both"/>
        <w:rPr>
          <w:szCs w:val="24"/>
          <w:u w:val="single"/>
        </w:rPr>
      </w:pPr>
    </w:p>
    <w:p w:rsidR="00664F47" w:rsidRPr="00F03222" w:rsidRDefault="00664F47" w:rsidP="008831E1">
      <w:pPr>
        <w:jc w:val="both"/>
        <w:rPr>
          <w:szCs w:val="24"/>
        </w:rPr>
      </w:pPr>
      <w:r w:rsidRPr="00F03222">
        <w:rPr>
          <w:szCs w:val="24"/>
          <w:u w:val="single"/>
        </w:rPr>
        <w:t>Revenue</w:t>
      </w:r>
    </w:p>
    <w:p w:rsidR="00664F47" w:rsidRPr="00F03222" w:rsidRDefault="00664F47" w:rsidP="0094045B">
      <w:pPr>
        <w:spacing w:before="120"/>
        <w:jc w:val="both"/>
        <w:rPr>
          <w:szCs w:val="24"/>
        </w:rPr>
      </w:pPr>
      <w:r w:rsidRPr="00F03222">
        <w:rPr>
          <w:szCs w:val="24"/>
        </w:rPr>
        <w:t>Ad-Valorem revenue was decreased an additional $22,000 following the July 1</w:t>
      </w:r>
      <w:r w:rsidRPr="00F03222">
        <w:rPr>
          <w:szCs w:val="24"/>
          <w:vertAlign w:val="superscript"/>
        </w:rPr>
        <w:t>st</w:t>
      </w:r>
      <w:r w:rsidRPr="00F03222">
        <w:rPr>
          <w:szCs w:val="24"/>
        </w:rPr>
        <w:t xml:space="preserve"> taxable value estimate provided by the Property Appraiser.  The additional reduction was absorbed by Board controlled departments.  This was an additional .02% drop from the estimate previously presented to the Board at the 3</w:t>
      </w:r>
      <w:r w:rsidRPr="00F03222">
        <w:rPr>
          <w:szCs w:val="24"/>
          <w:vertAlign w:val="superscript"/>
        </w:rPr>
        <w:t>rd</w:t>
      </w:r>
      <w:r w:rsidRPr="00F03222">
        <w:rPr>
          <w:szCs w:val="24"/>
        </w:rPr>
        <w:t xml:space="preserve"> budget development workshop, bringing the total decrease in ad-valorem revenue from the previous fiscal year budget to -$971,278 or -9.7%.  </w:t>
      </w:r>
    </w:p>
    <w:p w:rsidR="00664F47" w:rsidRPr="00F03222" w:rsidRDefault="00664F47" w:rsidP="008831E1">
      <w:pPr>
        <w:jc w:val="both"/>
        <w:rPr>
          <w:szCs w:val="24"/>
        </w:rPr>
      </w:pPr>
    </w:p>
    <w:p w:rsidR="00664F47" w:rsidRPr="00F03222" w:rsidRDefault="00664F47" w:rsidP="008831E1">
      <w:pPr>
        <w:jc w:val="both"/>
        <w:rPr>
          <w:szCs w:val="24"/>
        </w:rPr>
      </w:pPr>
      <w:r w:rsidRPr="00F03222">
        <w:rPr>
          <w:szCs w:val="24"/>
        </w:rPr>
        <w:t>In an attempt to prepare a budget demonstrating solid fiscal responsibility, changes were made to the use of the budgeted fund balance and interfund transfers from special rev</w:t>
      </w:r>
      <w:r>
        <w:rPr>
          <w:szCs w:val="24"/>
        </w:rPr>
        <w:t>e</w:t>
      </w:r>
      <w:r w:rsidRPr="00F03222">
        <w:rPr>
          <w:szCs w:val="24"/>
        </w:rPr>
        <w:t xml:space="preserve">nue funds and budgeted reserve.  The elimination of any budgeted fund balance (previous year budget $210,000) and the $817,025 or 92% reduction of interfund transfers (previous year budget $887,417) combined with </w:t>
      </w:r>
      <w:r>
        <w:rPr>
          <w:szCs w:val="24"/>
        </w:rPr>
        <w:t>$</w:t>
      </w:r>
      <w:r w:rsidRPr="00F03222">
        <w:rPr>
          <w:szCs w:val="24"/>
        </w:rPr>
        <w:t>480,000 in budgeted reserve (previous year budget $130,458) contributed to a revenue shortfall of $2,298,303.</w:t>
      </w:r>
    </w:p>
    <w:p w:rsidR="00664F47" w:rsidRPr="00F03222" w:rsidRDefault="00664F47" w:rsidP="008831E1">
      <w:pPr>
        <w:jc w:val="both"/>
        <w:rPr>
          <w:szCs w:val="24"/>
        </w:rPr>
      </w:pPr>
    </w:p>
    <w:p w:rsidR="00664F47" w:rsidRPr="00F03222" w:rsidRDefault="00664F47" w:rsidP="008831E1">
      <w:pPr>
        <w:jc w:val="both"/>
        <w:rPr>
          <w:szCs w:val="24"/>
        </w:rPr>
      </w:pPr>
      <w:r w:rsidRPr="00F03222">
        <w:rPr>
          <w:szCs w:val="24"/>
        </w:rPr>
        <w:t>Several local revenue sources were also lowered</w:t>
      </w:r>
      <w:r>
        <w:rPr>
          <w:szCs w:val="24"/>
        </w:rPr>
        <w:t xml:space="preserve"> for FY2011/12</w:t>
      </w:r>
      <w:r w:rsidRPr="00F03222">
        <w:rPr>
          <w:szCs w:val="24"/>
        </w:rPr>
        <w:t xml:space="preserve"> due to underperforming mid-year results</w:t>
      </w:r>
      <w:r>
        <w:rPr>
          <w:szCs w:val="24"/>
        </w:rPr>
        <w:t xml:space="preserve"> this year</w:t>
      </w:r>
      <w:r w:rsidRPr="00F03222">
        <w:rPr>
          <w:szCs w:val="24"/>
        </w:rPr>
        <w:t xml:space="preserve">.  Planning and Community Development revenues decreased collectively by $76,000 or 56%.  Code enforcement revenues decreased by $10,000 or 50%.  Building Department revenue fell sharply this fiscal as well and the total revenue for the building department was decreased by $47,649 or 15%. </w:t>
      </w:r>
    </w:p>
    <w:p w:rsidR="00664F47" w:rsidRPr="00F03222" w:rsidRDefault="00664F47" w:rsidP="008831E1">
      <w:pPr>
        <w:jc w:val="both"/>
        <w:rPr>
          <w:szCs w:val="24"/>
        </w:rPr>
      </w:pPr>
    </w:p>
    <w:p w:rsidR="00664F47" w:rsidRPr="00F03222" w:rsidRDefault="00664F47" w:rsidP="008831E1">
      <w:pPr>
        <w:jc w:val="both"/>
        <w:rPr>
          <w:szCs w:val="24"/>
        </w:rPr>
      </w:pPr>
      <w:r w:rsidRPr="00F03222">
        <w:rPr>
          <w:szCs w:val="24"/>
        </w:rPr>
        <w:t>Anticipated jail bed revenue was decreased from $2,400,000 to 2,100,000 to provide for an additional 10% of revenue collected to be put towards reserve as directed by the revised rainy day fund ordinance.</w:t>
      </w:r>
    </w:p>
    <w:p w:rsidR="00664F47" w:rsidRPr="00F03222" w:rsidRDefault="00664F47" w:rsidP="008831E1">
      <w:pPr>
        <w:jc w:val="both"/>
        <w:rPr>
          <w:szCs w:val="24"/>
        </w:rPr>
      </w:pPr>
    </w:p>
    <w:p w:rsidR="00664F47" w:rsidRPr="00F03222" w:rsidRDefault="00664F47" w:rsidP="008831E1">
      <w:pPr>
        <w:jc w:val="both"/>
        <w:rPr>
          <w:szCs w:val="24"/>
        </w:rPr>
      </w:pPr>
      <w:r w:rsidRPr="00F03222">
        <w:rPr>
          <w:szCs w:val="24"/>
        </w:rPr>
        <w:t>State Revenue Sources increased by $1,320,501 or 29% primarily due to the addition of a Public Service Tax (PST) and an increase to the Communication Service Tax (CST).</w:t>
      </w:r>
    </w:p>
    <w:p w:rsidR="00664F47" w:rsidRPr="00F03222" w:rsidRDefault="00664F47" w:rsidP="008831E1">
      <w:pPr>
        <w:jc w:val="both"/>
        <w:rPr>
          <w:szCs w:val="24"/>
        </w:rPr>
      </w:pPr>
    </w:p>
    <w:p w:rsidR="00664F47" w:rsidRPr="00F03222" w:rsidRDefault="00664F47" w:rsidP="008831E1">
      <w:pPr>
        <w:jc w:val="both"/>
        <w:rPr>
          <w:szCs w:val="24"/>
        </w:rPr>
      </w:pPr>
      <w:r w:rsidRPr="00F03222">
        <w:rPr>
          <w:szCs w:val="24"/>
        </w:rPr>
        <w:t>While the implementation of the PST and the CST helped offset the $2,298,303 anticipated reduction in revenue from the previous fiscal year, a budget deficit of $409,629 still existed.  This was primarily due to budgeting $480,000 in reserve.  The funding gap was resolved by distributing the remainin</w:t>
      </w:r>
      <w:r>
        <w:rPr>
          <w:szCs w:val="24"/>
        </w:rPr>
        <w:t>g budget shortfall among all General F</w:t>
      </w:r>
      <w:r w:rsidRPr="00F03222">
        <w:rPr>
          <w:szCs w:val="24"/>
        </w:rPr>
        <w:t xml:space="preserve">und supported programs and Constitutional Officers.  The following outlines </w:t>
      </w:r>
      <w:r>
        <w:rPr>
          <w:szCs w:val="24"/>
        </w:rPr>
        <w:t>the reductions</w:t>
      </w:r>
      <w:r w:rsidRPr="00F03222">
        <w:rPr>
          <w:szCs w:val="24"/>
        </w:rPr>
        <w:t xml:space="preserve"> made by the Board to achieve a balanced FY2011/12 Tentative Budget.</w:t>
      </w:r>
    </w:p>
    <w:p w:rsidR="00664F47" w:rsidRPr="00F03222" w:rsidRDefault="00664F47" w:rsidP="008831E1">
      <w:pPr>
        <w:jc w:val="both"/>
        <w:rPr>
          <w:szCs w:val="24"/>
        </w:rPr>
      </w:pPr>
      <w:r w:rsidRPr="00F03222">
        <w:rPr>
          <w:szCs w:val="24"/>
          <w:u w:val="single"/>
        </w:rPr>
        <w:t xml:space="preserve">FY2011/12 Tentative Budget </w:t>
      </w:r>
      <w:r>
        <w:rPr>
          <w:szCs w:val="24"/>
          <w:u w:val="single"/>
        </w:rPr>
        <w:t>Reductions</w:t>
      </w:r>
      <w:r w:rsidRPr="00F03222">
        <w:rPr>
          <w:szCs w:val="24"/>
          <w:u w:val="single"/>
        </w:rPr>
        <w:t>:</w:t>
      </w:r>
    </w:p>
    <w:p w:rsidR="00664F47" w:rsidRPr="00F03222" w:rsidRDefault="00664F47" w:rsidP="0094045B">
      <w:pPr>
        <w:pStyle w:val="ListParagraph"/>
        <w:numPr>
          <w:ilvl w:val="0"/>
          <w:numId w:val="45"/>
        </w:numPr>
        <w:spacing w:before="120"/>
        <w:jc w:val="both"/>
        <w:rPr>
          <w:rFonts w:ascii="Times New Roman" w:hAnsi="Times New Roman"/>
          <w:sz w:val="24"/>
          <w:szCs w:val="24"/>
        </w:rPr>
      </w:pPr>
      <w:r w:rsidRPr="00F03222">
        <w:rPr>
          <w:rFonts w:ascii="Times New Roman" w:hAnsi="Times New Roman"/>
          <w:sz w:val="24"/>
          <w:szCs w:val="24"/>
        </w:rPr>
        <w:t>An additional 1.94% Reduction to the following Constitutional Officer Budgets:</w:t>
      </w:r>
    </w:p>
    <w:p w:rsidR="00664F47" w:rsidRPr="00F03222" w:rsidRDefault="00664F47" w:rsidP="0047754B">
      <w:pPr>
        <w:pStyle w:val="ListParagraph"/>
        <w:numPr>
          <w:ilvl w:val="1"/>
          <w:numId w:val="45"/>
        </w:numPr>
        <w:jc w:val="both"/>
        <w:rPr>
          <w:rFonts w:ascii="Times New Roman" w:hAnsi="Times New Roman"/>
          <w:sz w:val="24"/>
          <w:szCs w:val="24"/>
        </w:rPr>
      </w:pPr>
      <w:r w:rsidRPr="00F03222">
        <w:rPr>
          <w:rFonts w:ascii="Times New Roman" w:hAnsi="Times New Roman"/>
          <w:sz w:val="24"/>
          <w:szCs w:val="24"/>
        </w:rPr>
        <w:t>Sherriff’s Department – $193,739</w:t>
      </w:r>
    </w:p>
    <w:p w:rsidR="00664F47" w:rsidRPr="00F03222" w:rsidRDefault="00664F47" w:rsidP="0047754B">
      <w:pPr>
        <w:pStyle w:val="ListParagraph"/>
        <w:numPr>
          <w:ilvl w:val="1"/>
          <w:numId w:val="45"/>
        </w:numPr>
        <w:jc w:val="both"/>
        <w:rPr>
          <w:rFonts w:ascii="Times New Roman" w:hAnsi="Times New Roman"/>
          <w:sz w:val="24"/>
          <w:szCs w:val="24"/>
        </w:rPr>
      </w:pPr>
      <w:r w:rsidRPr="00F03222">
        <w:rPr>
          <w:rFonts w:ascii="Times New Roman" w:hAnsi="Times New Roman"/>
          <w:sz w:val="24"/>
          <w:szCs w:val="24"/>
        </w:rPr>
        <w:t>Clerk of Court – $8,078</w:t>
      </w:r>
    </w:p>
    <w:p w:rsidR="00664F47" w:rsidRPr="00F03222" w:rsidRDefault="00664F47" w:rsidP="0047754B">
      <w:pPr>
        <w:pStyle w:val="ListParagraph"/>
        <w:numPr>
          <w:ilvl w:val="1"/>
          <w:numId w:val="45"/>
        </w:numPr>
        <w:jc w:val="both"/>
        <w:rPr>
          <w:rFonts w:ascii="Times New Roman" w:hAnsi="Times New Roman"/>
          <w:sz w:val="24"/>
          <w:szCs w:val="24"/>
        </w:rPr>
      </w:pPr>
      <w:r w:rsidRPr="00F03222">
        <w:rPr>
          <w:rFonts w:ascii="Times New Roman" w:hAnsi="Times New Roman"/>
          <w:sz w:val="24"/>
          <w:szCs w:val="24"/>
        </w:rPr>
        <w:t>Property Appraiser – $18,137</w:t>
      </w:r>
    </w:p>
    <w:p w:rsidR="00664F47" w:rsidRPr="00F03222" w:rsidRDefault="00664F47" w:rsidP="0047754B">
      <w:pPr>
        <w:pStyle w:val="ListParagraph"/>
        <w:numPr>
          <w:ilvl w:val="1"/>
          <w:numId w:val="45"/>
        </w:numPr>
        <w:jc w:val="both"/>
        <w:rPr>
          <w:rFonts w:ascii="Times New Roman" w:hAnsi="Times New Roman"/>
          <w:sz w:val="24"/>
          <w:szCs w:val="24"/>
        </w:rPr>
      </w:pPr>
      <w:r w:rsidRPr="00F03222">
        <w:rPr>
          <w:rFonts w:ascii="Times New Roman" w:hAnsi="Times New Roman"/>
          <w:sz w:val="24"/>
          <w:szCs w:val="24"/>
        </w:rPr>
        <w:t>Tax Collector – $13,043</w:t>
      </w:r>
    </w:p>
    <w:p w:rsidR="00664F47" w:rsidRPr="00F03222" w:rsidRDefault="00664F47" w:rsidP="00F26BC6">
      <w:pPr>
        <w:pStyle w:val="ListParagraph"/>
        <w:ind w:left="1440"/>
        <w:jc w:val="both"/>
        <w:rPr>
          <w:rFonts w:ascii="Times New Roman" w:hAnsi="Times New Roman"/>
          <w:sz w:val="24"/>
          <w:szCs w:val="24"/>
        </w:rPr>
      </w:pPr>
    </w:p>
    <w:p w:rsidR="00664F47" w:rsidRPr="00F03222" w:rsidRDefault="00664F47" w:rsidP="00EA5C26">
      <w:pPr>
        <w:pStyle w:val="ListParagraph"/>
        <w:numPr>
          <w:ilvl w:val="0"/>
          <w:numId w:val="45"/>
        </w:numPr>
        <w:jc w:val="both"/>
        <w:rPr>
          <w:rFonts w:ascii="Times New Roman" w:hAnsi="Times New Roman"/>
          <w:sz w:val="24"/>
          <w:szCs w:val="24"/>
        </w:rPr>
      </w:pPr>
      <w:r w:rsidRPr="00F03222">
        <w:rPr>
          <w:rFonts w:ascii="Times New Roman" w:hAnsi="Times New Roman"/>
          <w:sz w:val="24"/>
          <w:szCs w:val="24"/>
        </w:rPr>
        <w:t xml:space="preserve">An additional 2.16% Reduction </w:t>
      </w:r>
    </w:p>
    <w:p w:rsidR="00664F47" w:rsidRPr="00F03222" w:rsidRDefault="00664F47" w:rsidP="0047754B">
      <w:pPr>
        <w:pStyle w:val="ListParagraph"/>
        <w:numPr>
          <w:ilvl w:val="1"/>
          <w:numId w:val="45"/>
        </w:numPr>
        <w:jc w:val="both"/>
        <w:rPr>
          <w:rFonts w:ascii="Times New Roman" w:hAnsi="Times New Roman"/>
          <w:sz w:val="24"/>
          <w:szCs w:val="24"/>
        </w:rPr>
      </w:pPr>
      <w:r w:rsidRPr="00F03222">
        <w:rPr>
          <w:rFonts w:ascii="Times New Roman" w:hAnsi="Times New Roman"/>
          <w:sz w:val="24"/>
          <w:szCs w:val="24"/>
        </w:rPr>
        <w:t>Board controlled departments &amp; Supervisor of Elections – $156,598 plus additional drop in ad-valorem revenue of $22,000.</w:t>
      </w:r>
    </w:p>
    <w:p w:rsidR="00664F47" w:rsidRPr="00F03222" w:rsidRDefault="00664F47" w:rsidP="0094045B">
      <w:pPr>
        <w:spacing w:before="120"/>
        <w:jc w:val="both"/>
        <w:rPr>
          <w:szCs w:val="24"/>
        </w:rPr>
      </w:pPr>
      <w:r w:rsidRPr="00F03222">
        <w:rPr>
          <w:szCs w:val="24"/>
        </w:rPr>
        <w:t>The FY2011/12 tentative budget was balanced through the cooperation from all departments and Constitutional Officers</w:t>
      </w:r>
    </w:p>
    <w:p w:rsidR="00664F47" w:rsidRPr="00F03222" w:rsidRDefault="00664F47" w:rsidP="0045766A">
      <w:pPr>
        <w:jc w:val="both"/>
        <w:rPr>
          <w:szCs w:val="24"/>
        </w:rPr>
      </w:pPr>
    </w:p>
    <w:p w:rsidR="00664F47" w:rsidRPr="00F03222" w:rsidRDefault="00664F47" w:rsidP="00323433">
      <w:pPr>
        <w:pStyle w:val="ListParagraph"/>
        <w:numPr>
          <w:ilvl w:val="0"/>
          <w:numId w:val="38"/>
        </w:numPr>
        <w:jc w:val="both"/>
        <w:rPr>
          <w:rFonts w:ascii="Times New Roman" w:hAnsi="Times New Roman"/>
          <w:sz w:val="24"/>
          <w:szCs w:val="24"/>
        </w:rPr>
      </w:pPr>
      <w:r w:rsidRPr="00F03222">
        <w:rPr>
          <w:rFonts w:ascii="Times New Roman" w:hAnsi="Times New Roman"/>
          <w:sz w:val="24"/>
          <w:szCs w:val="24"/>
        </w:rPr>
        <w:t xml:space="preserve">The overall reduction to the County general fund Budget from FY2010/11 to FY2011/12 was $1,120,418 or 5.6%.  This was achieved </w:t>
      </w:r>
      <w:r w:rsidRPr="00F03222">
        <w:rPr>
          <w:rFonts w:ascii="Times New Roman" w:hAnsi="Times New Roman"/>
          <w:i/>
          <w:sz w:val="24"/>
          <w:szCs w:val="24"/>
          <w:u w:val="single"/>
        </w:rPr>
        <w:t>without</w:t>
      </w:r>
      <w:r w:rsidRPr="00F03222">
        <w:rPr>
          <w:rFonts w:ascii="Times New Roman" w:hAnsi="Times New Roman"/>
          <w:sz w:val="24"/>
          <w:szCs w:val="24"/>
        </w:rPr>
        <w:t xml:space="preserve"> an increase to the millage rate which remained 8.7500 creating a reduction in property taxes in the amount of $971,277 or 10% from the previous fiscal year.</w:t>
      </w:r>
    </w:p>
    <w:p w:rsidR="00664F47" w:rsidRPr="00F03222" w:rsidRDefault="00664F47" w:rsidP="00323433">
      <w:pPr>
        <w:pStyle w:val="ListParagraph"/>
        <w:numPr>
          <w:ilvl w:val="0"/>
          <w:numId w:val="38"/>
        </w:numPr>
        <w:jc w:val="both"/>
        <w:rPr>
          <w:rFonts w:ascii="Times New Roman" w:hAnsi="Times New Roman"/>
          <w:sz w:val="24"/>
          <w:szCs w:val="24"/>
        </w:rPr>
      </w:pPr>
      <w:r w:rsidRPr="00F03222">
        <w:rPr>
          <w:rFonts w:ascii="Times New Roman" w:hAnsi="Times New Roman"/>
          <w:sz w:val="24"/>
          <w:szCs w:val="24"/>
        </w:rPr>
        <w:t>The total number of FTE’s eliminated from the FY2011/12 tentative budget was 27, included the following:</w:t>
      </w:r>
    </w:p>
    <w:p w:rsidR="00664F47" w:rsidRPr="00F03222" w:rsidRDefault="00664F47" w:rsidP="00F22D6D">
      <w:pPr>
        <w:pStyle w:val="ListParagraph"/>
        <w:numPr>
          <w:ilvl w:val="0"/>
          <w:numId w:val="47"/>
        </w:numPr>
        <w:jc w:val="both"/>
        <w:rPr>
          <w:rFonts w:ascii="Times New Roman" w:hAnsi="Times New Roman"/>
          <w:sz w:val="24"/>
          <w:szCs w:val="24"/>
        </w:rPr>
      </w:pPr>
      <w:r w:rsidRPr="00F03222">
        <w:rPr>
          <w:rFonts w:ascii="Times New Roman" w:hAnsi="Times New Roman"/>
          <w:sz w:val="24"/>
          <w:szCs w:val="24"/>
        </w:rPr>
        <w:t>7 General Fund Positions</w:t>
      </w:r>
    </w:p>
    <w:p w:rsidR="00664F47" w:rsidRPr="00F03222" w:rsidRDefault="00664F47" w:rsidP="00EA5C26">
      <w:pPr>
        <w:pStyle w:val="ListParagraph"/>
        <w:numPr>
          <w:ilvl w:val="3"/>
          <w:numId w:val="46"/>
        </w:numPr>
        <w:jc w:val="both"/>
        <w:rPr>
          <w:rFonts w:ascii="Times New Roman" w:hAnsi="Times New Roman"/>
          <w:sz w:val="24"/>
          <w:szCs w:val="24"/>
        </w:rPr>
      </w:pPr>
      <w:r w:rsidRPr="00F03222">
        <w:rPr>
          <w:rFonts w:ascii="Times New Roman" w:hAnsi="Times New Roman"/>
          <w:sz w:val="24"/>
          <w:szCs w:val="24"/>
        </w:rPr>
        <w:t>Public Services Director</w:t>
      </w:r>
    </w:p>
    <w:p w:rsidR="00664F47" w:rsidRPr="00F03222" w:rsidRDefault="00664F47" w:rsidP="00EA5C26">
      <w:pPr>
        <w:pStyle w:val="ListParagraph"/>
        <w:numPr>
          <w:ilvl w:val="3"/>
          <w:numId w:val="46"/>
        </w:numPr>
        <w:jc w:val="both"/>
        <w:rPr>
          <w:rFonts w:ascii="Times New Roman" w:hAnsi="Times New Roman"/>
          <w:sz w:val="24"/>
          <w:szCs w:val="24"/>
        </w:rPr>
      </w:pPr>
      <w:r w:rsidRPr="00F03222">
        <w:rPr>
          <w:rFonts w:ascii="Times New Roman" w:hAnsi="Times New Roman"/>
          <w:sz w:val="24"/>
          <w:szCs w:val="24"/>
        </w:rPr>
        <w:t>Public Safety Director</w:t>
      </w:r>
    </w:p>
    <w:p w:rsidR="00664F47" w:rsidRPr="00F03222" w:rsidRDefault="00664F47" w:rsidP="00EA5C26">
      <w:pPr>
        <w:pStyle w:val="ListParagraph"/>
        <w:numPr>
          <w:ilvl w:val="3"/>
          <w:numId w:val="46"/>
        </w:numPr>
        <w:jc w:val="both"/>
        <w:rPr>
          <w:rFonts w:ascii="Times New Roman" w:hAnsi="Times New Roman"/>
          <w:sz w:val="24"/>
          <w:szCs w:val="24"/>
        </w:rPr>
      </w:pPr>
      <w:r w:rsidRPr="00F03222">
        <w:rPr>
          <w:rFonts w:ascii="Times New Roman" w:hAnsi="Times New Roman"/>
          <w:sz w:val="24"/>
          <w:szCs w:val="24"/>
        </w:rPr>
        <w:t>Grants Coordinator</w:t>
      </w:r>
    </w:p>
    <w:p w:rsidR="00664F47" w:rsidRPr="00F03222" w:rsidRDefault="00664F47" w:rsidP="00EA5C26">
      <w:pPr>
        <w:pStyle w:val="ListParagraph"/>
        <w:numPr>
          <w:ilvl w:val="3"/>
          <w:numId w:val="46"/>
        </w:numPr>
        <w:jc w:val="both"/>
        <w:rPr>
          <w:rFonts w:ascii="Times New Roman" w:hAnsi="Times New Roman"/>
          <w:sz w:val="24"/>
          <w:szCs w:val="24"/>
        </w:rPr>
      </w:pPr>
      <w:r w:rsidRPr="00F03222">
        <w:rPr>
          <w:rFonts w:ascii="Times New Roman" w:hAnsi="Times New Roman"/>
          <w:sz w:val="24"/>
          <w:szCs w:val="24"/>
        </w:rPr>
        <w:t>Administrative Assistant</w:t>
      </w:r>
    </w:p>
    <w:p w:rsidR="00664F47" w:rsidRPr="00F03222" w:rsidRDefault="00664F47" w:rsidP="00EA5C26">
      <w:pPr>
        <w:pStyle w:val="ListParagraph"/>
        <w:numPr>
          <w:ilvl w:val="3"/>
          <w:numId w:val="46"/>
        </w:numPr>
        <w:jc w:val="both"/>
        <w:rPr>
          <w:rFonts w:ascii="Times New Roman" w:hAnsi="Times New Roman"/>
          <w:sz w:val="24"/>
          <w:szCs w:val="24"/>
        </w:rPr>
      </w:pPr>
      <w:r w:rsidRPr="00F03222">
        <w:rPr>
          <w:rFonts w:ascii="Times New Roman" w:hAnsi="Times New Roman"/>
          <w:sz w:val="24"/>
          <w:szCs w:val="24"/>
        </w:rPr>
        <w:t>Planning Tech</w:t>
      </w:r>
    </w:p>
    <w:p w:rsidR="00664F47" w:rsidRPr="00F03222" w:rsidRDefault="00664F47" w:rsidP="00EA5C26">
      <w:pPr>
        <w:pStyle w:val="ListParagraph"/>
        <w:numPr>
          <w:ilvl w:val="3"/>
          <w:numId w:val="46"/>
        </w:numPr>
        <w:jc w:val="both"/>
        <w:rPr>
          <w:rFonts w:ascii="Times New Roman" w:hAnsi="Times New Roman"/>
          <w:sz w:val="24"/>
          <w:szCs w:val="24"/>
        </w:rPr>
      </w:pPr>
      <w:r w:rsidRPr="00F03222">
        <w:rPr>
          <w:rFonts w:ascii="Times New Roman" w:hAnsi="Times New Roman"/>
          <w:sz w:val="24"/>
          <w:szCs w:val="24"/>
        </w:rPr>
        <w:t>Paramedic</w:t>
      </w:r>
    </w:p>
    <w:p w:rsidR="00664F47" w:rsidRPr="00F03222" w:rsidRDefault="00664F47" w:rsidP="00EA5C26">
      <w:pPr>
        <w:pStyle w:val="ListParagraph"/>
        <w:numPr>
          <w:ilvl w:val="3"/>
          <w:numId w:val="45"/>
        </w:numPr>
        <w:jc w:val="both"/>
        <w:rPr>
          <w:rFonts w:ascii="Times New Roman" w:hAnsi="Times New Roman"/>
          <w:sz w:val="24"/>
          <w:szCs w:val="24"/>
        </w:rPr>
      </w:pPr>
      <w:r w:rsidRPr="00F03222">
        <w:rPr>
          <w:rFonts w:ascii="Times New Roman" w:hAnsi="Times New Roman"/>
          <w:sz w:val="24"/>
          <w:szCs w:val="24"/>
        </w:rPr>
        <w:t>Facilities Management-OPS</w:t>
      </w:r>
    </w:p>
    <w:p w:rsidR="00664F47" w:rsidRPr="00F03222" w:rsidRDefault="00664F47" w:rsidP="00F22D6D">
      <w:pPr>
        <w:pStyle w:val="ListParagraph"/>
        <w:numPr>
          <w:ilvl w:val="0"/>
          <w:numId w:val="47"/>
        </w:numPr>
        <w:jc w:val="both"/>
        <w:rPr>
          <w:rFonts w:ascii="Times New Roman" w:hAnsi="Times New Roman"/>
          <w:sz w:val="24"/>
          <w:szCs w:val="24"/>
        </w:rPr>
      </w:pPr>
      <w:r w:rsidRPr="00F03222">
        <w:rPr>
          <w:rFonts w:ascii="Times New Roman" w:hAnsi="Times New Roman"/>
          <w:sz w:val="24"/>
          <w:szCs w:val="24"/>
        </w:rPr>
        <w:t>3.5 Building Department Positions</w:t>
      </w:r>
    </w:p>
    <w:p w:rsidR="00664F47" w:rsidRPr="00F03222" w:rsidRDefault="00664F47" w:rsidP="00F22D6D">
      <w:pPr>
        <w:pStyle w:val="ListParagraph"/>
        <w:numPr>
          <w:ilvl w:val="0"/>
          <w:numId w:val="47"/>
        </w:numPr>
        <w:jc w:val="both"/>
        <w:rPr>
          <w:rFonts w:ascii="Times New Roman" w:hAnsi="Times New Roman"/>
          <w:sz w:val="24"/>
          <w:szCs w:val="24"/>
        </w:rPr>
      </w:pPr>
      <w:r w:rsidRPr="00F03222">
        <w:rPr>
          <w:rFonts w:ascii="Times New Roman" w:hAnsi="Times New Roman"/>
          <w:sz w:val="24"/>
          <w:szCs w:val="24"/>
        </w:rPr>
        <w:t>7 Sheriff’s Office Positions</w:t>
      </w:r>
    </w:p>
    <w:p w:rsidR="00664F47" w:rsidRPr="00F03222" w:rsidRDefault="00664F47" w:rsidP="00F22D6D">
      <w:pPr>
        <w:pStyle w:val="ListParagraph"/>
        <w:numPr>
          <w:ilvl w:val="0"/>
          <w:numId w:val="47"/>
        </w:numPr>
        <w:jc w:val="both"/>
        <w:rPr>
          <w:rFonts w:ascii="Times New Roman" w:hAnsi="Times New Roman"/>
          <w:sz w:val="24"/>
          <w:szCs w:val="24"/>
        </w:rPr>
      </w:pPr>
      <w:r w:rsidRPr="00F03222">
        <w:rPr>
          <w:rFonts w:ascii="Times New Roman" w:hAnsi="Times New Roman"/>
          <w:sz w:val="24"/>
          <w:szCs w:val="24"/>
        </w:rPr>
        <w:t>9.5 Housing Department Positions</w:t>
      </w:r>
    </w:p>
    <w:p w:rsidR="00664F47" w:rsidRPr="00F03222" w:rsidRDefault="00664F47" w:rsidP="00323433">
      <w:pPr>
        <w:pStyle w:val="ListParagraph"/>
        <w:numPr>
          <w:ilvl w:val="0"/>
          <w:numId w:val="38"/>
        </w:numPr>
        <w:jc w:val="both"/>
        <w:rPr>
          <w:rFonts w:ascii="Times New Roman" w:hAnsi="Times New Roman"/>
          <w:sz w:val="24"/>
          <w:szCs w:val="24"/>
        </w:rPr>
      </w:pPr>
      <w:r w:rsidRPr="00F03222">
        <w:rPr>
          <w:rFonts w:ascii="Times New Roman" w:hAnsi="Times New Roman"/>
          <w:sz w:val="24"/>
          <w:szCs w:val="24"/>
        </w:rPr>
        <w:t>An increase to General Administration is directly related to the Board’s desire to both build up reserves and increase cash fund balance for the next fiscal year.  The total amount of budgeted reserve is $480,000 which if not spent will fall to fund balance at the end of the year.</w:t>
      </w:r>
    </w:p>
    <w:p w:rsidR="00664F47" w:rsidRDefault="00664F47" w:rsidP="00323433">
      <w:pPr>
        <w:pStyle w:val="ListParagraph"/>
        <w:numPr>
          <w:ilvl w:val="0"/>
          <w:numId w:val="38"/>
        </w:numPr>
        <w:jc w:val="both"/>
        <w:rPr>
          <w:rFonts w:ascii="Times New Roman" w:hAnsi="Times New Roman"/>
          <w:sz w:val="24"/>
          <w:szCs w:val="24"/>
        </w:rPr>
      </w:pPr>
      <w:r w:rsidRPr="00F03222">
        <w:rPr>
          <w:rFonts w:ascii="Times New Roman" w:hAnsi="Times New Roman"/>
          <w:sz w:val="24"/>
          <w:szCs w:val="24"/>
        </w:rPr>
        <w:t>The Building Department budget was decreased by 49% from FY2011/12 through the loss of 3.5 positions and a decrease in operating costs.</w:t>
      </w:r>
    </w:p>
    <w:p w:rsidR="00664F47" w:rsidRDefault="00664F47" w:rsidP="008831E1">
      <w:pPr>
        <w:jc w:val="both"/>
        <w:rPr>
          <w:b/>
          <w:szCs w:val="24"/>
          <w:u w:val="single"/>
        </w:rPr>
      </w:pPr>
    </w:p>
    <w:p w:rsidR="00664F47" w:rsidRDefault="00664F47" w:rsidP="008831E1">
      <w:pPr>
        <w:jc w:val="both"/>
        <w:rPr>
          <w:b/>
          <w:szCs w:val="24"/>
          <w:u w:val="single"/>
        </w:rPr>
      </w:pPr>
    </w:p>
    <w:p w:rsidR="00664F47" w:rsidRPr="003842BA" w:rsidRDefault="00664F47" w:rsidP="008831E1">
      <w:pPr>
        <w:jc w:val="both"/>
        <w:rPr>
          <w:b/>
          <w:szCs w:val="24"/>
          <w:u w:val="single"/>
        </w:rPr>
      </w:pPr>
      <w:r w:rsidRPr="003842BA">
        <w:rPr>
          <w:b/>
          <w:szCs w:val="24"/>
          <w:u w:val="single"/>
        </w:rPr>
        <w:t>Health Insurance Premium Options</w:t>
      </w:r>
    </w:p>
    <w:p w:rsidR="00664F47" w:rsidRPr="00F03222" w:rsidRDefault="00664F47" w:rsidP="008831E1">
      <w:pPr>
        <w:jc w:val="both"/>
        <w:rPr>
          <w:szCs w:val="24"/>
        </w:rPr>
      </w:pPr>
      <w:r w:rsidRPr="00F03222">
        <w:rPr>
          <w:szCs w:val="24"/>
        </w:rPr>
        <w:t xml:space="preserve">Each year health insurance is reviewed and options are presented to the County by its </w:t>
      </w:r>
      <w:r>
        <w:rPr>
          <w:szCs w:val="24"/>
        </w:rPr>
        <w:t>broker</w:t>
      </w:r>
      <w:r w:rsidRPr="00F03222">
        <w:rPr>
          <w:szCs w:val="24"/>
        </w:rPr>
        <w:t>.  The updated quotes for health insurance premiums were not available during the development of the tentative budget and are being presented to the Board now for further consideration.</w:t>
      </w:r>
      <w:r w:rsidRPr="004629B7">
        <w:rPr>
          <w:szCs w:val="24"/>
        </w:rPr>
        <w:t xml:space="preserve"> </w:t>
      </w:r>
      <w:r>
        <w:rPr>
          <w:szCs w:val="24"/>
        </w:rPr>
        <w:t xml:space="preserve"> In addition to CHP, our broker provided an additional option of going with a different carrier, United Health Care (UHC).    Our insurance broker provided a list of Pros and Cons for switching from our current CHP provider to UHC (Attachment #3 &amp; 4). The chart below outlines three options for the Board to consider and associated costs.</w:t>
      </w:r>
    </w:p>
    <w:p w:rsidR="00664F47" w:rsidRDefault="00664F47" w:rsidP="0015662E">
      <w:pPr>
        <w:jc w:val="both"/>
        <w:rPr>
          <w:szCs w:val="24"/>
        </w:rPr>
      </w:pPr>
    </w:p>
    <w:tbl>
      <w:tblPr>
        <w:tblW w:w="10281" w:type="dxa"/>
        <w:tblInd w:w="-456" w:type="dxa"/>
        <w:tblLook w:val="00A0"/>
      </w:tblPr>
      <w:tblGrid>
        <w:gridCol w:w="1901"/>
        <w:gridCol w:w="1184"/>
        <w:gridCol w:w="1416"/>
        <w:gridCol w:w="1576"/>
        <w:gridCol w:w="1317"/>
        <w:gridCol w:w="1416"/>
        <w:gridCol w:w="1471"/>
      </w:tblGrid>
      <w:tr w:rsidR="00664F47" w:rsidRPr="001339D3" w:rsidTr="00051A26">
        <w:trPr>
          <w:trHeight w:val="649"/>
        </w:trPr>
        <w:tc>
          <w:tcPr>
            <w:tcW w:w="1901" w:type="dxa"/>
            <w:tcBorders>
              <w:top w:val="single" w:sz="4" w:space="0" w:color="auto"/>
              <w:left w:val="single" w:sz="4" w:space="0" w:color="auto"/>
              <w:bottom w:val="single" w:sz="4" w:space="0" w:color="auto"/>
              <w:right w:val="nil"/>
            </w:tcBorders>
            <w:noWrap/>
            <w:vAlign w:val="bottom"/>
          </w:tcPr>
          <w:p w:rsidR="00664F47" w:rsidRPr="001339D3" w:rsidRDefault="00664F47" w:rsidP="001339D3">
            <w:pPr>
              <w:widowControl/>
              <w:rPr>
                <w:rFonts w:ascii="Arial" w:hAnsi="Arial" w:cs="Arial"/>
                <w:b/>
                <w:bCs/>
                <w:sz w:val="20"/>
              </w:rPr>
            </w:pPr>
            <w:r w:rsidRPr="001339D3">
              <w:rPr>
                <w:rFonts w:ascii="Arial" w:hAnsi="Arial" w:cs="Arial"/>
                <w:b/>
                <w:bCs/>
                <w:sz w:val="20"/>
              </w:rPr>
              <w:t> </w:t>
            </w:r>
          </w:p>
        </w:tc>
        <w:tc>
          <w:tcPr>
            <w:tcW w:w="1184" w:type="dxa"/>
            <w:tcBorders>
              <w:top w:val="single" w:sz="4" w:space="0" w:color="auto"/>
              <w:left w:val="nil"/>
              <w:bottom w:val="single" w:sz="4" w:space="0" w:color="auto"/>
              <w:right w:val="nil"/>
            </w:tcBorders>
            <w:noWrap/>
            <w:vAlign w:val="bottom"/>
          </w:tcPr>
          <w:p w:rsidR="00664F47" w:rsidRPr="001339D3" w:rsidRDefault="00664F47" w:rsidP="001339D3">
            <w:pPr>
              <w:widowControl/>
              <w:jc w:val="center"/>
              <w:rPr>
                <w:rFonts w:ascii="Arial" w:hAnsi="Arial" w:cs="Arial"/>
                <w:b/>
                <w:bCs/>
                <w:sz w:val="20"/>
              </w:rPr>
            </w:pPr>
            <w:r w:rsidRPr="001339D3">
              <w:rPr>
                <w:rFonts w:ascii="Arial" w:hAnsi="Arial" w:cs="Arial"/>
                <w:b/>
                <w:bCs/>
                <w:sz w:val="20"/>
              </w:rPr>
              <w:t>Premiums</w:t>
            </w:r>
          </w:p>
        </w:tc>
        <w:tc>
          <w:tcPr>
            <w:tcW w:w="1416" w:type="dxa"/>
            <w:tcBorders>
              <w:top w:val="single" w:sz="4" w:space="0" w:color="auto"/>
              <w:left w:val="nil"/>
              <w:bottom w:val="single" w:sz="4" w:space="0" w:color="auto"/>
              <w:right w:val="nil"/>
            </w:tcBorders>
            <w:vAlign w:val="bottom"/>
          </w:tcPr>
          <w:p w:rsidR="00664F47" w:rsidRPr="001339D3" w:rsidRDefault="00664F47" w:rsidP="001339D3">
            <w:pPr>
              <w:widowControl/>
              <w:jc w:val="center"/>
              <w:rPr>
                <w:rFonts w:ascii="Arial" w:hAnsi="Arial" w:cs="Arial"/>
                <w:b/>
                <w:bCs/>
                <w:sz w:val="20"/>
              </w:rPr>
            </w:pPr>
            <w:r w:rsidRPr="001339D3">
              <w:rPr>
                <w:rFonts w:ascii="Arial" w:hAnsi="Arial" w:cs="Arial"/>
                <w:b/>
                <w:bCs/>
                <w:sz w:val="20"/>
              </w:rPr>
              <w:t xml:space="preserve">  Employee Contribution </w:t>
            </w:r>
          </w:p>
        </w:tc>
        <w:tc>
          <w:tcPr>
            <w:tcW w:w="1576" w:type="dxa"/>
            <w:tcBorders>
              <w:top w:val="single" w:sz="4" w:space="0" w:color="auto"/>
              <w:left w:val="nil"/>
              <w:bottom w:val="single" w:sz="4" w:space="0" w:color="auto"/>
              <w:right w:val="nil"/>
            </w:tcBorders>
            <w:vAlign w:val="bottom"/>
          </w:tcPr>
          <w:p w:rsidR="00664F47" w:rsidRPr="001339D3" w:rsidRDefault="00664F47" w:rsidP="001339D3">
            <w:pPr>
              <w:widowControl/>
              <w:jc w:val="center"/>
              <w:rPr>
                <w:rFonts w:ascii="Arial" w:hAnsi="Arial" w:cs="Arial"/>
                <w:b/>
                <w:bCs/>
                <w:sz w:val="20"/>
              </w:rPr>
            </w:pPr>
            <w:r w:rsidRPr="001339D3">
              <w:rPr>
                <w:rFonts w:ascii="Arial" w:hAnsi="Arial" w:cs="Arial"/>
                <w:b/>
                <w:bCs/>
                <w:sz w:val="20"/>
              </w:rPr>
              <w:t xml:space="preserve"> BOCC Contribution  </w:t>
            </w:r>
          </w:p>
        </w:tc>
        <w:tc>
          <w:tcPr>
            <w:tcW w:w="1317" w:type="dxa"/>
            <w:tcBorders>
              <w:top w:val="single" w:sz="4" w:space="0" w:color="auto"/>
              <w:left w:val="single" w:sz="4" w:space="0" w:color="auto"/>
              <w:bottom w:val="single" w:sz="4" w:space="0" w:color="auto"/>
              <w:right w:val="nil"/>
            </w:tcBorders>
            <w:vAlign w:val="bottom"/>
          </w:tcPr>
          <w:p w:rsidR="00664F47" w:rsidRPr="001339D3" w:rsidRDefault="00664F47" w:rsidP="001339D3">
            <w:pPr>
              <w:widowControl/>
              <w:jc w:val="center"/>
              <w:rPr>
                <w:rFonts w:ascii="Arial" w:hAnsi="Arial" w:cs="Arial"/>
                <w:b/>
                <w:bCs/>
                <w:sz w:val="20"/>
              </w:rPr>
            </w:pPr>
            <w:r w:rsidRPr="001339D3">
              <w:rPr>
                <w:rFonts w:ascii="Arial" w:hAnsi="Arial" w:cs="Arial"/>
                <w:b/>
                <w:bCs/>
                <w:sz w:val="20"/>
              </w:rPr>
              <w:t xml:space="preserve"> *Deductible </w:t>
            </w:r>
          </w:p>
        </w:tc>
        <w:tc>
          <w:tcPr>
            <w:tcW w:w="1416" w:type="dxa"/>
            <w:tcBorders>
              <w:top w:val="single" w:sz="4" w:space="0" w:color="auto"/>
              <w:left w:val="nil"/>
              <w:bottom w:val="single" w:sz="4" w:space="0" w:color="auto"/>
              <w:right w:val="nil"/>
            </w:tcBorders>
            <w:vAlign w:val="bottom"/>
          </w:tcPr>
          <w:p w:rsidR="00664F47" w:rsidRPr="001339D3" w:rsidRDefault="00664F47" w:rsidP="001339D3">
            <w:pPr>
              <w:widowControl/>
              <w:jc w:val="center"/>
              <w:rPr>
                <w:rFonts w:ascii="Arial" w:hAnsi="Arial" w:cs="Arial"/>
                <w:b/>
                <w:bCs/>
                <w:sz w:val="20"/>
              </w:rPr>
            </w:pPr>
            <w:r w:rsidRPr="001339D3">
              <w:rPr>
                <w:rFonts w:ascii="Arial" w:hAnsi="Arial" w:cs="Arial"/>
                <w:b/>
                <w:bCs/>
                <w:sz w:val="20"/>
              </w:rPr>
              <w:t xml:space="preserve">  Employee Contribution With % increase </w:t>
            </w:r>
          </w:p>
        </w:tc>
        <w:tc>
          <w:tcPr>
            <w:tcW w:w="1471" w:type="dxa"/>
            <w:tcBorders>
              <w:top w:val="single" w:sz="4" w:space="0" w:color="auto"/>
              <w:left w:val="nil"/>
              <w:bottom w:val="single" w:sz="4" w:space="0" w:color="auto"/>
              <w:right w:val="single" w:sz="4" w:space="0" w:color="auto"/>
            </w:tcBorders>
            <w:vAlign w:val="bottom"/>
          </w:tcPr>
          <w:p w:rsidR="00664F47" w:rsidRPr="001339D3" w:rsidRDefault="00664F47" w:rsidP="001339D3">
            <w:pPr>
              <w:widowControl/>
              <w:jc w:val="center"/>
              <w:rPr>
                <w:rFonts w:ascii="Arial" w:hAnsi="Arial" w:cs="Arial"/>
                <w:b/>
                <w:bCs/>
                <w:sz w:val="20"/>
              </w:rPr>
            </w:pPr>
            <w:r w:rsidRPr="001339D3">
              <w:rPr>
                <w:rFonts w:ascii="Arial" w:hAnsi="Arial" w:cs="Arial"/>
                <w:b/>
                <w:bCs/>
                <w:sz w:val="20"/>
              </w:rPr>
              <w:t xml:space="preserve"> Total Employee Annual Costs  </w:t>
            </w:r>
          </w:p>
        </w:tc>
      </w:tr>
      <w:tr w:rsidR="00664F47" w:rsidRPr="001339D3" w:rsidTr="00051A26">
        <w:trPr>
          <w:trHeight w:val="232"/>
        </w:trPr>
        <w:tc>
          <w:tcPr>
            <w:tcW w:w="1901" w:type="dxa"/>
            <w:tcBorders>
              <w:top w:val="nil"/>
              <w:left w:val="single" w:sz="4" w:space="0" w:color="auto"/>
              <w:bottom w:val="single" w:sz="4" w:space="0" w:color="auto"/>
              <w:right w:val="nil"/>
            </w:tcBorders>
            <w:noWrap/>
            <w:vAlign w:val="bottom"/>
          </w:tcPr>
          <w:p w:rsidR="00664F47" w:rsidRPr="001339D3" w:rsidRDefault="00664F47" w:rsidP="001339D3">
            <w:pPr>
              <w:widowControl/>
              <w:rPr>
                <w:rFonts w:ascii="Arial" w:hAnsi="Arial" w:cs="Arial"/>
                <w:b/>
                <w:bCs/>
                <w:szCs w:val="22"/>
              </w:rPr>
            </w:pPr>
            <w:r w:rsidRPr="001339D3">
              <w:rPr>
                <w:rFonts w:ascii="Arial" w:hAnsi="Arial" w:cs="Arial"/>
                <w:b/>
                <w:bCs/>
                <w:sz w:val="22"/>
                <w:szCs w:val="22"/>
              </w:rPr>
              <w:t xml:space="preserve">Current CHP </w:t>
            </w:r>
          </w:p>
        </w:tc>
        <w:tc>
          <w:tcPr>
            <w:tcW w:w="1184" w:type="dxa"/>
            <w:tcBorders>
              <w:top w:val="nil"/>
              <w:left w:val="nil"/>
              <w:bottom w:val="nil"/>
              <w:right w:val="nil"/>
            </w:tcBorders>
            <w:noWrap/>
            <w:vAlign w:val="bottom"/>
          </w:tcPr>
          <w:p w:rsidR="00664F47" w:rsidRPr="001339D3" w:rsidRDefault="00664F47" w:rsidP="001339D3">
            <w:pPr>
              <w:widowControl/>
              <w:jc w:val="center"/>
              <w:rPr>
                <w:rFonts w:ascii="Arial" w:hAnsi="Arial" w:cs="Arial"/>
                <w:b/>
                <w:bCs/>
                <w:sz w:val="20"/>
              </w:rPr>
            </w:pPr>
            <w:r w:rsidRPr="001339D3">
              <w:rPr>
                <w:rFonts w:ascii="Arial" w:hAnsi="Arial" w:cs="Arial"/>
                <w:b/>
                <w:bCs/>
                <w:sz w:val="20"/>
              </w:rPr>
              <w:t> </w:t>
            </w:r>
          </w:p>
        </w:tc>
        <w:tc>
          <w:tcPr>
            <w:tcW w:w="1416" w:type="dxa"/>
            <w:tcBorders>
              <w:top w:val="nil"/>
              <w:left w:val="nil"/>
              <w:bottom w:val="nil"/>
              <w:right w:val="nil"/>
            </w:tcBorders>
            <w:vAlign w:val="bottom"/>
          </w:tcPr>
          <w:p w:rsidR="00664F47" w:rsidRPr="001339D3" w:rsidRDefault="00664F47" w:rsidP="001339D3">
            <w:pPr>
              <w:widowControl/>
              <w:jc w:val="center"/>
              <w:rPr>
                <w:rFonts w:ascii="Arial" w:hAnsi="Arial" w:cs="Arial"/>
                <w:b/>
                <w:bCs/>
                <w:sz w:val="20"/>
              </w:rPr>
            </w:pPr>
            <w:r w:rsidRPr="001339D3">
              <w:rPr>
                <w:rFonts w:ascii="Arial" w:hAnsi="Arial" w:cs="Arial"/>
                <w:b/>
                <w:bCs/>
                <w:sz w:val="20"/>
              </w:rPr>
              <w:t> </w:t>
            </w:r>
          </w:p>
        </w:tc>
        <w:tc>
          <w:tcPr>
            <w:tcW w:w="1576" w:type="dxa"/>
            <w:tcBorders>
              <w:top w:val="nil"/>
              <w:left w:val="nil"/>
              <w:bottom w:val="nil"/>
              <w:right w:val="nil"/>
            </w:tcBorders>
            <w:vAlign w:val="bottom"/>
          </w:tcPr>
          <w:p w:rsidR="00664F47" w:rsidRPr="001339D3" w:rsidRDefault="00664F47" w:rsidP="001339D3">
            <w:pPr>
              <w:widowControl/>
              <w:jc w:val="center"/>
              <w:rPr>
                <w:rFonts w:ascii="Arial" w:hAnsi="Arial" w:cs="Arial"/>
                <w:b/>
                <w:bCs/>
                <w:sz w:val="20"/>
              </w:rPr>
            </w:pPr>
            <w:r w:rsidRPr="001339D3">
              <w:rPr>
                <w:rFonts w:ascii="Arial" w:hAnsi="Arial" w:cs="Arial"/>
                <w:b/>
                <w:bCs/>
                <w:sz w:val="20"/>
              </w:rPr>
              <w:t> </w:t>
            </w:r>
          </w:p>
        </w:tc>
        <w:tc>
          <w:tcPr>
            <w:tcW w:w="1317" w:type="dxa"/>
            <w:tcBorders>
              <w:top w:val="nil"/>
              <w:left w:val="single" w:sz="4" w:space="0" w:color="auto"/>
              <w:bottom w:val="single" w:sz="4" w:space="0" w:color="auto"/>
              <w:right w:val="nil"/>
            </w:tcBorders>
            <w:vAlign w:val="bottom"/>
          </w:tcPr>
          <w:p w:rsidR="00664F47" w:rsidRPr="001339D3" w:rsidRDefault="00664F47" w:rsidP="001339D3">
            <w:pPr>
              <w:widowControl/>
              <w:jc w:val="center"/>
              <w:rPr>
                <w:rFonts w:ascii="Arial" w:hAnsi="Arial" w:cs="Arial"/>
                <w:b/>
                <w:bCs/>
                <w:sz w:val="20"/>
              </w:rPr>
            </w:pPr>
            <w:r w:rsidRPr="001339D3">
              <w:rPr>
                <w:rFonts w:ascii="Arial" w:hAnsi="Arial" w:cs="Arial"/>
                <w:b/>
                <w:bCs/>
                <w:sz w:val="20"/>
              </w:rPr>
              <w:t> </w:t>
            </w:r>
          </w:p>
        </w:tc>
        <w:tc>
          <w:tcPr>
            <w:tcW w:w="1416" w:type="dxa"/>
            <w:tcBorders>
              <w:top w:val="nil"/>
              <w:left w:val="nil"/>
              <w:bottom w:val="nil"/>
              <w:right w:val="nil"/>
            </w:tcBorders>
            <w:vAlign w:val="bottom"/>
          </w:tcPr>
          <w:p w:rsidR="00664F47" w:rsidRPr="001339D3" w:rsidRDefault="00664F47" w:rsidP="001339D3">
            <w:pPr>
              <w:widowControl/>
              <w:jc w:val="center"/>
              <w:rPr>
                <w:rFonts w:ascii="Arial" w:hAnsi="Arial" w:cs="Arial"/>
                <w:b/>
                <w:bCs/>
                <w:sz w:val="20"/>
              </w:rPr>
            </w:pPr>
            <w:r w:rsidRPr="001339D3">
              <w:rPr>
                <w:rFonts w:ascii="Arial" w:hAnsi="Arial" w:cs="Arial"/>
                <w:b/>
                <w:bCs/>
                <w:sz w:val="20"/>
              </w:rPr>
              <w:t> </w:t>
            </w:r>
          </w:p>
        </w:tc>
        <w:tc>
          <w:tcPr>
            <w:tcW w:w="1471" w:type="dxa"/>
            <w:tcBorders>
              <w:top w:val="nil"/>
              <w:left w:val="nil"/>
              <w:bottom w:val="nil"/>
              <w:right w:val="single" w:sz="4" w:space="0" w:color="auto"/>
            </w:tcBorders>
            <w:vAlign w:val="bottom"/>
          </w:tcPr>
          <w:p w:rsidR="00664F47" w:rsidRPr="001339D3" w:rsidRDefault="00664F47" w:rsidP="001339D3">
            <w:pPr>
              <w:widowControl/>
              <w:jc w:val="center"/>
              <w:rPr>
                <w:rFonts w:ascii="Arial" w:hAnsi="Arial" w:cs="Arial"/>
                <w:b/>
                <w:bCs/>
                <w:sz w:val="20"/>
              </w:rPr>
            </w:pPr>
            <w:r w:rsidRPr="001339D3">
              <w:rPr>
                <w:rFonts w:ascii="Arial" w:hAnsi="Arial" w:cs="Arial"/>
                <w:b/>
                <w:bCs/>
                <w:sz w:val="20"/>
              </w:rPr>
              <w:t> </w:t>
            </w:r>
          </w:p>
        </w:tc>
      </w:tr>
      <w:tr w:rsidR="00664F47" w:rsidRPr="001339D3" w:rsidTr="00051A26">
        <w:trPr>
          <w:trHeight w:val="165"/>
        </w:trPr>
        <w:tc>
          <w:tcPr>
            <w:tcW w:w="1901" w:type="dxa"/>
            <w:tcBorders>
              <w:top w:val="nil"/>
              <w:left w:val="single" w:sz="4" w:space="0" w:color="auto"/>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Single</w:t>
            </w:r>
          </w:p>
        </w:tc>
        <w:tc>
          <w:tcPr>
            <w:tcW w:w="1184" w:type="dxa"/>
            <w:tcBorders>
              <w:top w:val="single" w:sz="4" w:space="0" w:color="auto"/>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441.92 </w:t>
            </w:r>
          </w:p>
        </w:tc>
        <w:tc>
          <w:tcPr>
            <w:tcW w:w="1416" w:type="dxa"/>
            <w:tcBorders>
              <w:top w:val="single" w:sz="4" w:space="0" w:color="auto"/>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   </w:t>
            </w:r>
          </w:p>
        </w:tc>
        <w:tc>
          <w:tcPr>
            <w:tcW w:w="1576" w:type="dxa"/>
            <w:tcBorders>
              <w:top w:val="single" w:sz="4" w:space="0" w:color="auto"/>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441.92 </w:t>
            </w:r>
          </w:p>
        </w:tc>
        <w:tc>
          <w:tcPr>
            <w:tcW w:w="1317" w:type="dxa"/>
            <w:tcBorders>
              <w:top w:val="nil"/>
              <w:left w:val="single" w:sz="4" w:space="0" w:color="auto"/>
              <w:bottom w:val="nil"/>
              <w:right w:val="nil"/>
            </w:tcBorders>
            <w:noWrap/>
            <w:vAlign w:val="bottom"/>
          </w:tcPr>
          <w:p w:rsidR="00664F47" w:rsidRPr="001339D3" w:rsidRDefault="00664F47" w:rsidP="001339D3">
            <w:pPr>
              <w:widowControl/>
              <w:jc w:val="right"/>
              <w:rPr>
                <w:rFonts w:ascii="Arial" w:hAnsi="Arial" w:cs="Arial"/>
                <w:sz w:val="20"/>
              </w:rPr>
            </w:pPr>
            <w:r w:rsidRPr="001339D3">
              <w:rPr>
                <w:rFonts w:ascii="Arial" w:hAnsi="Arial" w:cs="Arial"/>
                <w:sz w:val="20"/>
              </w:rPr>
              <w:t xml:space="preserve">0.00 </w:t>
            </w:r>
          </w:p>
        </w:tc>
        <w:tc>
          <w:tcPr>
            <w:tcW w:w="1416" w:type="dxa"/>
            <w:tcBorders>
              <w:top w:val="single" w:sz="4" w:space="0" w:color="auto"/>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   </w:t>
            </w:r>
          </w:p>
        </w:tc>
        <w:tc>
          <w:tcPr>
            <w:tcW w:w="1471" w:type="dxa"/>
            <w:tcBorders>
              <w:top w:val="single" w:sz="4" w:space="0" w:color="auto"/>
              <w:left w:val="nil"/>
              <w:bottom w:val="nil"/>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   </w:t>
            </w:r>
          </w:p>
        </w:tc>
      </w:tr>
      <w:tr w:rsidR="00664F47" w:rsidRPr="001339D3" w:rsidTr="00051A26">
        <w:trPr>
          <w:trHeight w:val="165"/>
        </w:trPr>
        <w:tc>
          <w:tcPr>
            <w:tcW w:w="1901" w:type="dxa"/>
            <w:tcBorders>
              <w:top w:val="nil"/>
              <w:left w:val="single" w:sz="4" w:space="0" w:color="auto"/>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Employee+Spouse</w:t>
            </w:r>
          </w:p>
        </w:tc>
        <w:tc>
          <w:tcPr>
            <w:tcW w:w="1184"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919.39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180.20 </w:t>
            </w:r>
          </w:p>
        </w:tc>
        <w:tc>
          <w:tcPr>
            <w:tcW w:w="157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739.19 </w:t>
            </w:r>
          </w:p>
        </w:tc>
        <w:tc>
          <w:tcPr>
            <w:tcW w:w="1317" w:type="dxa"/>
            <w:tcBorders>
              <w:top w:val="nil"/>
              <w:left w:val="single" w:sz="4" w:space="0" w:color="auto"/>
              <w:bottom w:val="nil"/>
              <w:right w:val="nil"/>
            </w:tcBorders>
            <w:noWrap/>
            <w:vAlign w:val="bottom"/>
          </w:tcPr>
          <w:p w:rsidR="00664F47" w:rsidRPr="001339D3" w:rsidRDefault="00664F47" w:rsidP="001339D3">
            <w:pPr>
              <w:widowControl/>
              <w:jc w:val="right"/>
              <w:rPr>
                <w:rFonts w:ascii="Arial" w:hAnsi="Arial" w:cs="Arial"/>
                <w:sz w:val="20"/>
              </w:rPr>
            </w:pPr>
            <w:r w:rsidRPr="001339D3">
              <w:rPr>
                <w:rFonts w:ascii="Arial" w:hAnsi="Arial" w:cs="Arial"/>
                <w:sz w:val="20"/>
              </w:rPr>
              <w:t xml:space="preserve">0.00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180.20 </w:t>
            </w:r>
          </w:p>
        </w:tc>
        <w:tc>
          <w:tcPr>
            <w:tcW w:w="1471" w:type="dxa"/>
            <w:tcBorders>
              <w:top w:val="nil"/>
              <w:left w:val="nil"/>
              <w:bottom w:val="nil"/>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2,162.40 </w:t>
            </w:r>
          </w:p>
        </w:tc>
      </w:tr>
      <w:tr w:rsidR="00664F47" w:rsidRPr="001339D3" w:rsidTr="00051A26">
        <w:trPr>
          <w:trHeight w:val="165"/>
        </w:trPr>
        <w:tc>
          <w:tcPr>
            <w:tcW w:w="1901" w:type="dxa"/>
            <w:tcBorders>
              <w:top w:val="nil"/>
              <w:left w:val="single" w:sz="4" w:space="0" w:color="auto"/>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Family </w:t>
            </w:r>
          </w:p>
        </w:tc>
        <w:tc>
          <w:tcPr>
            <w:tcW w:w="1184"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1,215.27 </w:t>
            </w:r>
          </w:p>
        </w:tc>
        <w:tc>
          <w:tcPr>
            <w:tcW w:w="1416"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291.90 </w:t>
            </w:r>
          </w:p>
        </w:tc>
        <w:tc>
          <w:tcPr>
            <w:tcW w:w="1576"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923.37 </w:t>
            </w:r>
          </w:p>
        </w:tc>
        <w:tc>
          <w:tcPr>
            <w:tcW w:w="1317" w:type="dxa"/>
            <w:tcBorders>
              <w:top w:val="nil"/>
              <w:left w:val="single" w:sz="4" w:space="0" w:color="auto"/>
              <w:bottom w:val="single" w:sz="4" w:space="0" w:color="auto"/>
              <w:right w:val="nil"/>
            </w:tcBorders>
            <w:noWrap/>
            <w:vAlign w:val="bottom"/>
          </w:tcPr>
          <w:p w:rsidR="00664F47" w:rsidRPr="001339D3" w:rsidRDefault="00664F47" w:rsidP="001339D3">
            <w:pPr>
              <w:widowControl/>
              <w:jc w:val="right"/>
              <w:rPr>
                <w:rFonts w:ascii="Arial" w:hAnsi="Arial" w:cs="Arial"/>
                <w:sz w:val="20"/>
              </w:rPr>
            </w:pPr>
            <w:r w:rsidRPr="001339D3">
              <w:rPr>
                <w:rFonts w:ascii="Arial" w:hAnsi="Arial" w:cs="Arial"/>
                <w:sz w:val="20"/>
              </w:rPr>
              <w:t xml:space="preserve">0.00 </w:t>
            </w:r>
          </w:p>
        </w:tc>
        <w:tc>
          <w:tcPr>
            <w:tcW w:w="1416"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291.90 </w:t>
            </w:r>
          </w:p>
        </w:tc>
        <w:tc>
          <w:tcPr>
            <w:tcW w:w="1471" w:type="dxa"/>
            <w:tcBorders>
              <w:top w:val="nil"/>
              <w:left w:val="nil"/>
              <w:bottom w:val="single" w:sz="4" w:space="0" w:color="auto"/>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3,502.80 </w:t>
            </w:r>
          </w:p>
        </w:tc>
      </w:tr>
      <w:tr w:rsidR="00664F47" w:rsidRPr="001339D3" w:rsidTr="00051A26">
        <w:trPr>
          <w:trHeight w:val="165"/>
        </w:trPr>
        <w:tc>
          <w:tcPr>
            <w:tcW w:w="1901"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184"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57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317" w:type="dxa"/>
            <w:tcBorders>
              <w:top w:val="nil"/>
              <w:left w:val="single" w:sz="4" w:space="0" w:color="auto"/>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471"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r>
      <w:tr w:rsidR="00664F47" w:rsidRPr="001339D3" w:rsidTr="00051A26">
        <w:trPr>
          <w:trHeight w:val="203"/>
        </w:trPr>
        <w:tc>
          <w:tcPr>
            <w:tcW w:w="3085" w:type="dxa"/>
            <w:gridSpan w:val="2"/>
            <w:tcBorders>
              <w:top w:val="single" w:sz="4" w:space="0" w:color="auto"/>
              <w:left w:val="single" w:sz="4" w:space="0" w:color="auto"/>
              <w:bottom w:val="single" w:sz="4" w:space="0" w:color="auto"/>
              <w:right w:val="nil"/>
            </w:tcBorders>
            <w:noWrap/>
            <w:vAlign w:val="bottom"/>
          </w:tcPr>
          <w:p w:rsidR="00664F47" w:rsidRDefault="00664F47" w:rsidP="00D320EA">
            <w:pPr>
              <w:widowControl/>
              <w:rPr>
                <w:rFonts w:ascii="Arial" w:hAnsi="Arial" w:cs="Arial"/>
                <w:b/>
                <w:bCs/>
                <w:szCs w:val="24"/>
              </w:rPr>
            </w:pPr>
            <w:r w:rsidRPr="001339D3">
              <w:rPr>
                <w:rFonts w:ascii="Arial" w:hAnsi="Arial" w:cs="Arial"/>
                <w:b/>
                <w:bCs/>
                <w:szCs w:val="24"/>
              </w:rPr>
              <w:t>CHP</w:t>
            </w:r>
            <w:r>
              <w:rPr>
                <w:rFonts w:ascii="Arial" w:hAnsi="Arial" w:cs="Arial"/>
                <w:b/>
                <w:bCs/>
                <w:szCs w:val="24"/>
              </w:rPr>
              <w:t xml:space="preserve"> with </w:t>
            </w:r>
            <w:r w:rsidRPr="001339D3">
              <w:rPr>
                <w:rFonts w:ascii="Arial" w:hAnsi="Arial" w:cs="Arial"/>
                <w:b/>
                <w:bCs/>
                <w:szCs w:val="24"/>
              </w:rPr>
              <w:t>1% Increase</w:t>
            </w:r>
          </w:p>
          <w:p w:rsidR="00664F47" w:rsidRPr="001339D3" w:rsidRDefault="00664F47" w:rsidP="00D320EA">
            <w:pPr>
              <w:widowControl/>
              <w:rPr>
                <w:rFonts w:ascii="Arial" w:hAnsi="Arial" w:cs="Arial"/>
                <w:b/>
                <w:bCs/>
                <w:szCs w:val="24"/>
              </w:rPr>
            </w:pPr>
            <w:r>
              <w:rPr>
                <w:rFonts w:ascii="Arial" w:hAnsi="Arial" w:cs="Arial"/>
                <w:b/>
                <w:bCs/>
                <w:szCs w:val="24"/>
              </w:rPr>
              <w:t>Option I</w:t>
            </w:r>
          </w:p>
        </w:tc>
        <w:tc>
          <w:tcPr>
            <w:tcW w:w="1416" w:type="dxa"/>
            <w:tcBorders>
              <w:top w:val="single" w:sz="4" w:space="0" w:color="auto"/>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576" w:type="dxa"/>
            <w:tcBorders>
              <w:top w:val="single" w:sz="4" w:space="0" w:color="auto"/>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317" w:type="dxa"/>
            <w:tcBorders>
              <w:top w:val="nil"/>
              <w:left w:val="single" w:sz="4" w:space="0" w:color="auto"/>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416" w:type="dxa"/>
            <w:tcBorders>
              <w:top w:val="single" w:sz="4" w:space="0" w:color="auto"/>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471" w:type="dxa"/>
            <w:tcBorders>
              <w:top w:val="single" w:sz="4" w:space="0" w:color="auto"/>
              <w:left w:val="nil"/>
              <w:bottom w:val="single" w:sz="4" w:space="0" w:color="auto"/>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r>
      <w:tr w:rsidR="00664F47" w:rsidRPr="001339D3" w:rsidTr="00051A26">
        <w:trPr>
          <w:trHeight w:val="165"/>
        </w:trPr>
        <w:tc>
          <w:tcPr>
            <w:tcW w:w="1901" w:type="dxa"/>
            <w:tcBorders>
              <w:top w:val="nil"/>
              <w:left w:val="single" w:sz="4" w:space="0" w:color="auto"/>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Single</w:t>
            </w:r>
          </w:p>
        </w:tc>
        <w:tc>
          <w:tcPr>
            <w:tcW w:w="1184"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446.34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   </w:t>
            </w:r>
          </w:p>
        </w:tc>
        <w:tc>
          <w:tcPr>
            <w:tcW w:w="157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446.34 </w:t>
            </w:r>
          </w:p>
        </w:tc>
        <w:tc>
          <w:tcPr>
            <w:tcW w:w="1317" w:type="dxa"/>
            <w:tcBorders>
              <w:top w:val="nil"/>
              <w:left w:val="single" w:sz="4" w:space="0" w:color="auto"/>
              <w:bottom w:val="nil"/>
              <w:right w:val="nil"/>
            </w:tcBorders>
            <w:noWrap/>
            <w:vAlign w:val="bottom"/>
          </w:tcPr>
          <w:p w:rsidR="00664F47" w:rsidRPr="001339D3" w:rsidRDefault="00664F47" w:rsidP="001339D3">
            <w:pPr>
              <w:widowControl/>
              <w:jc w:val="right"/>
              <w:rPr>
                <w:rFonts w:ascii="Arial" w:hAnsi="Arial" w:cs="Arial"/>
                <w:sz w:val="20"/>
              </w:rPr>
            </w:pPr>
            <w:r w:rsidRPr="001339D3">
              <w:rPr>
                <w:rFonts w:ascii="Arial" w:hAnsi="Arial" w:cs="Arial"/>
                <w:sz w:val="20"/>
              </w:rPr>
              <w:t xml:space="preserve">0.00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4.42 </w:t>
            </w:r>
          </w:p>
        </w:tc>
        <w:tc>
          <w:tcPr>
            <w:tcW w:w="1471" w:type="dxa"/>
            <w:tcBorders>
              <w:top w:val="nil"/>
              <w:left w:val="nil"/>
              <w:bottom w:val="nil"/>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53.04 </w:t>
            </w:r>
          </w:p>
        </w:tc>
      </w:tr>
      <w:tr w:rsidR="00664F47" w:rsidRPr="001339D3" w:rsidTr="00051A26">
        <w:trPr>
          <w:trHeight w:val="165"/>
        </w:trPr>
        <w:tc>
          <w:tcPr>
            <w:tcW w:w="1901" w:type="dxa"/>
            <w:tcBorders>
              <w:top w:val="nil"/>
              <w:left w:val="single" w:sz="4" w:space="0" w:color="auto"/>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Employee+Spouse</w:t>
            </w:r>
          </w:p>
        </w:tc>
        <w:tc>
          <w:tcPr>
            <w:tcW w:w="1184"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928.58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180.20 </w:t>
            </w:r>
          </w:p>
        </w:tc>
        <w:tc>
          <w:tcPr>
            <w:tcW w:w="157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748.38 </w:t>
            </w:r>
          </w:p>
        </w:tc>
        <w:tc>
          <w:tcPr>
            <w:tcW w:w="1317" w:type="dxa"/>
            <w:tcBorders>
              <w:top w:val="nil"/>
              <w:left w:val="single" w:sz="4" w:space="0" w:color="auto"/>
              <w:bottom w:val="nil"/>
              <w:right w:val="nil"/>
            </w:tcBorders>
            <w:noWrap/>
            <w:vAlign w:val="bottom"/>
          </w:tcPr>
          <w:p w:rsidR="00664F47" w:rsidRPr="001339D3" w:rsidRDefault="00664F47" w:rsidP="001339D3">
            <w:pPr>
              <w:widowControl/>
              <w:jc w:val="right"/>
              <w:rPr>
                <w:rFonts w:ascii="Arial" w:hAnsi="Arial" w:cs="Arial"/>
                <w:sz w:val="20"/>
              </w:rPr>
            </w:pPr>
            <w:r w:rsidRPr="001339D3">
              <w:rPr>
                <w:rFonts w:ascii="Arial" w:hAnsi="Arial" w:cs="Arial"/>
                <w:sz w:val="20"/>
              </w:rPr>
              <w:t xml:space="preserve">0.00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189.39 </w:t>
            </w:r>
          </w:p>
        </w:tc>
        <w:tc>
          <w:tcPr>
            <w:tcW w:w="1471" w:type="dxa"/>
            <w:tcBorders>
              <w:top w:val="nil"/>
              <w:left w:val="nil"/>
              <w:bottom w:val="nil"/>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2,272.68 </w:t>
            </w:r>
          </w:p>
        </w:tc>
      </w:tr>
      <w:tr w:rsidR="00664F47" w:rsidRPr="001339D3" w:rsidTr="00051A26">
        <w:trPr>
          <w:trHeight w:val="165"/>
        </w:trPr>
        <w:tc>
          <w:tcPr>
            <w:tcW w:w="1901" w:type="dxa"/>
            <w:tcBorders>
              <w:top w:val="nil"/>
              <w:left w:val="single" w:sz="4" w:space="0" w:color="auto"/>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Family </w:t>
            </w:r>
          </w:p>
        </w:tc>
        <w:tc>
          <w:tcPr>
            <w:tcW w:w="1184"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1,227.42 </w:t>
            </w:r>
          </w:p>
        </w:tc>
        <w:tc>
          <w:tcPr>
            <w:tcW w:w="1416"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291.90 </w:t>
            </w:r>
          </w:p>
        </w:tc>
        <w:tc>
          <w:tcPr>
            <w:tcW w:w="1576"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935.52 </w:t>
            </w:r>
          </w:p>
        </w:tc>
        <w:tc>
          <w:tcPr>
            <w:tcW w:w="1317" w:type="dxa"/>
            <w:tcBorders>
              <w:top w:val="nil"/>
              <w:left w:val="single" w:sz="4" w:space="0" w:color="auto"/>
              <w:bottom w:val="single" w:sz="4" w:space="0" w:color="auto"/>
              <w:right w:val="nil"/>
            </w:tcBorders>
            <w:noWrap/>
            <w:vAlign w:val="bottom"/>
          </w:tcPr>
          <w:p w:rsidR="00664F47" w:rsidRPr="001339D3" w:rsidRDefault="00664F47" w:rsidP="001339D3">
            <w:pPr>
              <w:widowControl/>
              <w:jc w:val="right"/>
              <w:rPr>
                <w:rFonts w:ascii="Arial" w:hAnsi="Arial" w:cs="Arial"/>
                <w:sz w:val="20"/>
              </w:rPr>
            </w:pPr>
            <w:r w:rsidRPr="001339D3">
              <w:rPr>
                <w:rFonts w:ascii="Arial" w:hAnsi="Arial" w:cs="Arial"/>
                <w:sz w:val="20"/>
              </w:rPr>
              <w:t xml:space="preserve">0.00 </w:t>
            </w:r>
          </w:p>
        </w:tc>
        <w:tc>
          <w:tcPr>
            <w:tcW w:w="1416"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304.05 </w:t>
            </w:r>
          </w:p>
        </w:tc>
        <w:tc>
          <w:tcPr>
            <w:tcW w:w="1471" w:type="dxa"/>
            <w:tcBorders>
              <w:top w:val="nil"/>
              <w:left w:val="nil"/>
              <w:bottom w:val="single" w:sz="4" w:space="0" w:color="auto"/>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3,648.60 </w:t>
            </w:r>
          </w:p>
        </w:tc>
      </w:tr>
      <w:tr w:rsidR="00664F47" w:rsidRPr="001339D3" w:rsidTr="00051A26">
        <w:trPr>
          <w:trHeight w:val="165"/>
        </w:trPr>
        <w:tc>
          <w:tcPr>
            <w:tcW w:w="1901"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184"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57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317" w:type="dxa"/>
            <w:tcBorders>
              <w:top w:val="nil"/>
              <w:left w:val="single" w:sz="4" w:space="0" w:color="auto"/>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471"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r>
      <w:tr w:rsidR="00664F47" w:rsidRPr="001339D3" w:rsidTr="00051A26">
        <w:trPr>
          <w:trHeight w:val="203"/>
        </w:trPr>
        <w:tc>
          <w:tcPr>
            <w:tcW w:w="3085" w:type="dxa"/>
            <w:gridSpan w:val="2"/>
            <w:tcBorders>
              <w:top w:val="single" w:sz="4" w:space="0" w:color="auto"/>
              <w:left w:val="single" w:sz="4" w:space="0" w:color="auto"/>
              <w:bottom w:val="single" w:sz="4" w:space="0" w:color="auto"/>
              <w:right w:val="nil"/>
            </w:tcBorders>
            <w:noWrap/>
            <w:vAlign w:val="bottom"/>
          </w:tcPr>
          <w:p w:rsidR="00664F47" w:rsidRDefault="00664F47" w:rsidP="001339D3">
            <w:pPr>
              <w:widowControl/>
              <w:rPr>
                <w:rFonts w:ascii="Arial" w:hAnsi="Arial" w:cs="Arial"/>
                <w:b/>
                <w:bCs/>
                <w:szCs w:val="24"/>
              </w:rPr>
            </w:pPr>
            <w:r>
              <w:rPr>
                <w:rFonts w:ascii="Arial" w:hAnsi="Arial" w:cs="Arial"/>
                <w:b/>
                <w:bCs/>
                <w:szCs w:val="24"/>
              </w:rPr>
              <w:t>CHP with</w:t>
            </w:r>
            <w:r w:rsidRPr="001339D3">
              <w:rPr>
                <w:rFonts w:ascii="Arial" w:hAnsi="Arial" w:cs="Arial"/>
                <w:b/>
                <w:bCs/>
                <w:szCs w:val="24"/>
              </w:rPr>
              <w:t xml:space="preserve"> 4% Increase</w:t>
            </w:r>
          </w:p>
          <w:p w:rsidR="00664F47" w:rsidRPr="001339D3" w:rsidRDefault="00664F47" w:rsidP="001339D3">
            <w:pPr>
              <w:widowControl/>
              <w:rPr>
                <w:rFonts w:ascii="Arial" w:hAnsi="Arial" w:cs="Arial"/>
                <w:b/>
                <w:bCs/>
                <w:szCs w:val="24"/>
              </w:rPr>
            </w:pPr>
            <w:r>
              <w:rPr>
                <w:rFonts w:ascii="Arial" w:hAnsi="Arial" w:cs="Arial"/>
                <w:b/>
                <w:bCs/>
                <w:szCs w:val="24"/>
              </w:rPr>
              <w:t>Option II</w:t>
            </w:r>
          </w:p>
        </w:tc>
        <w:tc>
          <w:tcPr>
            <w:tcW w:w="1416" w:type="dxa"/>
            <w:tcBorders>
              <w:top w:val="single" w:sz="4" w:space="0" w:color="auto"/>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576" w:type="dxa"/>
            <w:tcBorders>
              <w:top w:val="single" w:sz="4" w:space="0" w:color="auto"/>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317" w:type="dxa"/>
            <w:tcBorders>
              <w:top w:val="nil"/>
              <w:left w:val="single" w:sz="4" w:space="0" w:color="auto"/>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416" w:type="dxa"/>
            <w:tcBorders>
              <w:top w:val="single" w:sz="4" w:space="0" w:color="auto"/>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471" w:type="dxa"/>
            <w:tcBorders>
              <w:top w:val="single" w:sz="4" w:space="0" w:color="auto"/>
              <w:left w:val="nil"/>
              <w:bottom w:val="single" w:sz="4" w:space="0" w:color="auto"/>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r>
      <w:tr w:rsidR="00664F47" w:rsidRPr="001339D3" w:rsidTr="00051A26">
        <w:trPr>
          <w:trHeight w:val="165"/>
        </w:trPr>
        <w:tc>
          <w:tcPr>
            <w:tcW w:w="1901" w:type="dxa"/>
            <w:tcBorders>
              <w:top w:val="nil"/>
              <w:left w:val="single" w:sz="4" w:space="0" w:color="auto"/>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Single</w:t>
            </w:r>
          </w:p>
        </w:tc>
        <w:tc>
          <w:tcPr>
            <w:tcW w:w="1184"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459.60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   </w:t>
            </w:r>
          </w:p>
        </w:tc>
        <w:tc>
          <w:tcPr>
            <w:tcW w:w="157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459.60 </w:t>
            </w:r>
          </w:p>
        </w:tc>
        <w:tc>
          <w:tcPr>
            <w:tcW w:w="1317" w:type="dxa"/>
            <w:tcBorders>
              <w:top w:val="nil"/>
              <w:left w:val="single" w:sz="4" w:space="0" w:color="auto"/>
              <w:bottom w:val="nil"/>
              <w:right w:val="nil"/>
            </w:tcBorders>
            <w:noWrap/>
            <w:vAlign w:val="bottom"/>
          </w:tcPr>
          <w:p w:rsidR="00664F47" w:rsidRPr="001339D3" w:rsidRDefault="00664F47" w:rsidP="001339D3">
            <w:pPr>
              <w:widowControl/>
              <w:jc w:val="right"/>
              <w:rPr>
                <w:rFonts w:ascii="Arial" w:hAnsi="Arial" w:cs="Arial"/>
                <w:sz w:val="20"/>
              </w:rPr>
            </w:pPr>
            <w:r w:rsidRPr="001339D3">
              <w:rPr>
                <w:rFonts w:ascii="Arial" w:hAnsi="Arial" w:cs="Arial"/>
                <w:sz w:val="20"/>
              </w:rPr>
              <w:t xml:space="preserve">0.00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17.68 </w:t>
            </w:r>
          </w:p>
        </w:tc>
        <w:tc>
          <w:tcPr>
            <w:tcW w:w="1471" w:type="dxa"/>
            <w:tcBorders>
              <w:top w:val="nil"/>
              <w:left w:val="nil"/>
              <w:bottom w:val="nil"/>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212.16 </w:t>
            </w:r>
          </w:p>
        </w:tc>
      </w:tr>
      <w:tr w:rsidR="00664F47" w:rsidRPr="001339D3" w:rsidTr="00051A26">
        <w:trPr>
          <w:trHeight w:val="165"/>
        </w:trPr>
        <w:tc>
          <w:tcPr>
            <w:tcW w:w="1901" w:type="dxa"/>
            <w:tcBorders>
              <w:top w:val="nil"/>
              <w:left w:val="single" w:sz="4" w:space="0" w:color="auto"/>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Employee+Spouse</w:t>
            </w:r>
          </w:p>
        </w:tc>
        <w:tc>
          <w:tcPr>
            <w:tcW w:w="1184"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956.17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180.20 </w:t>
            </w:r>
          </w:p>
        </w:tc>
        <w:tc>
          <w:tcPr>
            <w:tcW w:w="157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775.97 </w:t>
            </w:r>
          </w:p>
        </w:tc>
        <w:tc>
          <w:tcPr>
            <w:tcW w:w="1317" w:type="dxa"/>
            <w:tcBorders>
              <w:top w:val="nil"/>
              <w:left w:val="single" w:sz="4" w:space="0" w:color="auto"/>
              <w:bottom w:val="nil"/>
              <w:right w:val="nil"/>
            </w:tcBorders>
            <w:noWrap/>
            <w:vAlign w:val="bottom"/>
          </w:tcPr>
          <w:p w:rsidR="00664F47" w:rsidRPr="001339D3" w:rsidRDefault="00664F47" w:rsidP="001339D3">
            <w:pPr>
              <w:widowControl/>
              <w:jc w:val="right"/>
              <w:rPr>
                <w:rFonts w:ascii="Arial" w:hAnsi="Arial" w:cs="Arial"/>
                <w:sz w:val="20"/>
              </w:rPr>
            </w:pPr>
            <w:r w:rsidRPr="001339D3">
              <w:rPr>
                <w:rFonts w:ascii="Arial" w:hAnsi="Arial" w:cs="Arial"/>
                <w:sz w:val="20"/>
              </w:rPr>
              <w:t xml:space="preserve">0.00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216.98 </w:t>
            </w:r>
          </w:p>
        </w:tc>
        <w:tc>
          <w:tcPr>
            <w:tcW w:w="1471" w:type="dxa"/>
            <w:tcBorders>
              <w:top w:val="nil"/>
              <w:left w:val="nil"/>
              <w:bottom w:val="nil"/>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2,603.76 </w:t>
            </w:r>
          </w:p>
        </w:tc>
      </w:tr>
      <w:tr w:rsidR="00664F47" w:rsidRPr="001339D3" w:rsidTr="00051A26">
        <w:trPr>
          <w:trHeight w:val="165"/>
        </w:trPr>
        <w:tc>
          <w:tcPr>
            <w:tcW w:w="1901" w:type="dxa"/>
            <w:tcBorders>
              <w:top w:val="nil"/>
              <w:left w:val="single" w:sz="4" w:space="0" w:color="auto"/>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Family </w:t>
            </w:r>
          </w:p>
        </w:tc>
        <w:tc>
          <w:tcPr>
            <w:tcW w:w="1184"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1,263.88 </w:t>
            </w:r>
          </w:p>
        </w:tc>
        <w:tc>
          <w:tcPr>
            <w:tcW w:w="1416"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291.90 </w:t>
            </w:r>
          </w:p>
        </w:tc>
        <w:tc>
          <w:tcPr>
            <w:tcW w:w="1576"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971.98 </w:t>
            </w:r>
          </w:p>
        </w:tc>
        <w:tc>
          <w:tcPr>
            <w:tcW w:w="1317" w:type="dxa"/>
            <w:tcBorders>
              <w:top w:val="nil"/>
              <w:left w:val="single" w:sz="4" w:space="0" w:color="auto"/>
              <w:bottom w:val="single" w:sz="4" w:space="0" w:color="auto"/>
              <w:right w:val="nil"/>
            </w:tcBorders>
            <w:noWrap/>
            <w:vAlign w:val="bottom"/>
          </w:tcPr>
          <w:p w:rsidR="00664F47" w:rsidRPr="001339D3" w:rsidRDefault="00664F47" w:rsidP="001339D3">
            <w:pPr>
              <w:widowControl/>
              <w:jc w:val="right"/>
              <w:rPr>
                <w:rFonts w:ascii="Arial" w:hAnsi="Arial" w:cs="Arial"/>
                <w:sz w:val="20"/>
              </w:rPr>
            </w:pPr>
            <w:r w:rsidRPr="001339D3">
              <w:rPr>
                <w:rFonts w:ascii="Arial" w:hAnsi="Arial" w:cs="Arial"/>
                <w:sz w:val="20"/>
              </w:rPr>
              <w:t xml:space="preserve">0.00 </w:t>
            </w:r>
          </w:p>
        </w:tc>
        <w:tc>
          <w:tcPr>
            <w:tcW w:w="1416"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340.51 </w:t>
            </w:r>
          </w:p>
        </w:tc>
        <w:tc>
          <w:tcPr>
            <w:tcW w:w="1471" w:type="dxa"/>
            <w:tcBorders>
              <w:top w:val="nil"/>
              <w:left w:val="nil"/>
              <w:bottom w:val="single" w:sz="4" w:space="0" w:color="auto"/>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4,086.12 </w:t>
            </w:r>
          </w:p>
        </w:tc>
      </w:tr>
      <w:tr w:rsidR="00664F47" w:rsidRPr="001339D3" w:rsidTr="00051A26">
        <w:trPr>
          <w:trHeight w:val="165"/>
        </w:trPr>
        <w:tc>
          <w:tcPr>
            <w:tcW w:w="1901"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184"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57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317" w:type="dxa"/>
            <w:tcBorders>
              <w:top w:val="nil"/>
              <w:left w:val="single" w:sz="4" w:space="0" w:color="auto"/>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c>
          <w:tcPr>
            <w:tcW w:w="1471"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r>
      <w:tr w:rsidR="00664F47" w:rsidRPr="001339D3" w:rsidTr="00051A26">
        <w:trPr>
          <w:trHeight w:val="203"/>
        </w:trPr>
        <w:tc>
          <w:tcPr>
            <w:tcW w:w="1901" w:type="dxa"/>
            <w:tcBorders>
              <w:top w:val="single" w:sz="4" w:space="0" w:color="auto"/>
              <w:left w:val="single" w:sz="4" w:space="0" w:color="auto"/>
              <w:bottom w:val="single" w:sz="4" w:space="0" w:color="auto"/>
              <w:right w:val="nil"/>
            </w:tcBorders>
            <w:noWrap/>
            <w:vAlign w:val="bottom"/>
          </w:tcPr>
          <w:p w:rsidR="00664F47" w:rsidRDefault="00664F47" w:rsidP="001339D3">
            <w:pPr>
              <w:widowControl/>
              <w:rPr>
                <w:rFonts w:ascii="Arial" w:hAnsi="Arial" w:cs="Arial"/>
                <w:b/>
                <w:bCs/>
                <w:szCs w:val="24"/>
              </w:rPr>
            </w:pPr>
            <w:r w:rsidRPr="001339D3">
              <w:rPr>
                <w:rFonts w:ascii="Arial" w:hAnsi="Arial" w:cs="Arial"/>
                <w:b/>
                <w:bCs/>
                <w:szCs w:val="24"/>
              </w:rPr>
              <w:t>U</w:t>
            </w:r>
            <w:r>
              <w:rPr>
                <w:rFonts w:ascii="Arial" w:hAnsi="Arial" w:cs="Arial"/>
                <w:b/>
                <w:bCs/>
                <w:szCs w:val="24"/>
              </w:rPr>
              <w:t>HC</w:t>
            </w:r>
          </w:p>
          <w:p w:rsidR="00664F47" w:rsidRPr="001339D3" w:rsidRDefault="00664F47" w:rsidP="001339D3">
            <w:pPr>
              <w:widowControl/>
              <w:rPr>
                <w:rFonts w:ascii="Arial" w:hAnsi="Arial" w:cs="Arial"/>
                <w:b/>
                <w:bCs/>
                <w:szCs w:val="24"/>
              </w:rPr>
            </w:pPr>
            <w:r>
              <w:rPr>
                <w:rFonts w:ascii="Arial" w:hAnsi="Arial" w:cs="Arial"/>
                <w:b/>
                <w:bCs/>
                <w:szCs w:val="24"/>
              </w:rPr>
              <w:t>Option III</w:t>
            </w:r>
          </w:p>
        </w:tc>
        <w:tc>
          <w:tcPr>
            <w:tcW w:w="1184" w:type="dxa"/>
            <w:tcBorders>
              <w:top w:val="single" w:sz="4" w:space="0" w:color="auto"/>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416" w:type="dxa"/>
            <w:tcBorders>
              <w:top w:val="single" w:sz="4" w:space="0" w:color="auto"/>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576" w:type="dxa"/>
            <w:tcBorders>
              <w:top w:val="single" w:sz="4" w:space="0" w:color="auto"/>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317" w:type="dxa"/>
            <w:tcBorders>
              <w:top w:val="nil"/>
              <w:left w:val="single" w:sz="4" w:space="0" w:color="auto"/>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416" w:type="dxa"/>
            <w:tcBorders>
              <w:top w:val="single" w:sz="4" w:space="0" w:color="auto"/>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c>
          <w:tcPr>
            <w:tcW w:w="1471" w:type="dxa"/>
            <w:tcBorders>
              <w:top w:val="single" w:sz="4" w:space="0" w:color="auto"/>
              <w:left w:val="nil"/>
              <w:bottom w:val="single" w:sz="4" w:space="0" w:color="auto"/>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w:t>
            </w:r>
          </w:p>
        </w:tc>
      </w:tr>
      <w:tr w:rsidR="00664F47" w:rsidRPr="001339D3" w:rsidTr="00051A26">
        <w:trPr>
          <w:trHeight w:val="165"/>
        </w:trPr>
        <w:tc>
          <w:tcPr>
            <w:tcW w:w="1901" w:type="dxa"/>
            <w:tcBorders>
              <w:top w:val="nil"/>
              <w:left w:val="single" w:sz="4" w:space="0" w:color="auto"/>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Single</w:t>
            </w:r>
          </w:p>
        </w:tc>
        <w:tc>
          <w:tcPr>
            <w:tcW w:w="1184"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436.57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   </w:t>
            </w:r>
          </w:p>
        </w:tc>
        <w:tc>
          <w:tcPr>
            <w:tcW w:w="157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436.57 </w:t>
            </w:r>
          </w:p>
        </w:tc>
        <w:tc>
          <w:tcPr>
            <w:tcW w:w="1317" w:type="dxa"/>
            <w:tcBorders>
              <w:top w:val="nil"/>
              <w:left w:val="single" w:sz="4" w:space="0" w:color="auto"/>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250.00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   </w:t>
            </w:r>
          </w:p>
        </w:tc>
        <w:tc>
          <w:tcPr>
            <w:tcW w:w="1471" w:type="dxa"/>
            <w:tcBorders>
              <w:top w:val="nil"/>
              <w:left w:val="nil"/>
              <w:bottom w:val="nil"/>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250.00 </w:t>
            </w:r>
          </w:p>
        </w:tc>
      </w:tr>
      <w:tr w:rsidR="00664F47" w:rsidRPr="001339D3" w:rsidTr="00051A26">
        <w:trPr>
          <w:trHeight w:val="165"/>
        </w:trPr>
        <w:tc>
          <w:tcPr>
            <w:tcW w:w="1901" w:type="dxa"/>
            <w:tcBorders>
              <w:top w:val="nil"/>
              <w:left w:val="single" w:sz="4" w:space="0" w:color="auto"/>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Employee+Spouse</w:t>
            </w:r>
          </w:p>
        </w:tc>
        <w:tc>
          <w:tcPr>
            <w:tcW w:w="1184"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908.25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180.20 </w:t>
            </w:r>
          </w:p>
        </w:tc>
        <w:tc>
          <w:tcPr>
            <w:tcW w:w="157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728.05 </w:t>
            </w:r>
          </w:p>
        </w:tc>
        <w:tc>
          <w:tcPr>
            <w:tcW w:w="1317" w:type="dxa"/>
            <w:tcBorders>
              <w:top w:val="nil"/>
              <w:left w:val="single" w:sz="4" w:space="0" w:color="auto"/>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500.00 </w:t>
            </w:r>
          </w:p>
        </w:tc>
        <w:tc>
          <w:tcPr>
            <w:tcW w:w="1416"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180.20 </w:t>
            </w:r>
          </w:p>
        </w:tc>
        <w:tc>
          <w:tcPr>
            <w:tcW w:w="1471" w:type="dxa"/>
            <w:tcBorders>
              <w:top w:val="nil"/>
              <w:left w:val="nil"/>
              <w:bottom w:val="nil"/>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2,662.40 </w:t>
            </w:r>
          </w:p>
        </w:tc>
      </w:tr>
      <w:tr w:rsidR="00664F47" w:rsidRPr="001339D3" w:rsidTr="00051A26">
        <w:trPr>
          <w:trHeight w:val="165"/>
        </w:trPr>
        <w:tc>
          <w:tcPr>
            <w:tcW w:w="1901" w:type="dxa"/>
            <w:tcBorders>
              <w:top w:val="nil"/>
              <w:left w:val="single" w:sz="4" w:space="0" w:color="auto"/>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Family </w:t>
            </w:r>
          </w:p>
        </w:tc>
        <w:tc>
          <w:tcPr>
            <w:tcW w:w="1184"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1,200.55 </w:t>
            </w:r>
          </w:p>
        </w:tc>
        <w:tc>
          <w:tcPr>
            <w:tcW w:w="1416"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291.90 </w:t>
            </w:r>
          </w:p>
        </w:tc>
        <w:tc>
          <w:tcPr>
            <w:tcW w:w="1576"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908.65 </w:t>
            </w:r>
          </w:p>
        </w:tc>
        <w:tc>
          <w:tcPr>
            <w:tcW w:w="1317" w:type="dxa"/>
            <w:tcBorders>
              <w:top w:val="nil"/>
              <w:left w:val="single" w:sz="4" w:space="0" w:color="auto"/>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500.00 </w:t>
            </w:r>
          </w:p>
        </w:tc>
        <w:tc>
          <w:tcPr>
            <w:tcW w:w="1416" w:type="dxa"/>
            <w:tcBorders>
              <w:top w:val="nil"/>
              <w:left w:val="nil"/>
              <w:bottom w:val="single" w:sz="4" w:space="0" w:color="auto"/>
              <w:right w:val="nil"/>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291.90 </w:t>
            </w:r>
          </w:p>
        </w:tc>
        <w:tc>
          <w:tcPr>
            <w:tcW w:w="1471" w:type="dxa"/>
            <w:tcBorders>
              <w:top w:val="nil"/>
              <w:left w:val="nil"/>
              <w:bottom w:val="single" w:sz="4" w:space="0" w:color="auto"/>
              <w:right w:val="single" w:sz="4" w:space="0" w:color="auto"/>
            </w:tcBorders>
            <w:noWrap/>
            <w:vAlign w:val="bottom"/>
          </w:tcPr>
          <w:p w:rsidR="00664F47" w:rsidRPr="001339D3" w:rsidRDefault="00664F47" w:rsidP="001339D3">
            <w:pPr>
              <w:widowControl/>
              <w:rPr>
                <w:rFonts w:ascii="Arial" w:hAnsi="Arial" w:cs="Arial"/>
                <w:sz w:val="20"/>
              </w:rPr>
            </w:pPr>
            <w:r w:rsidRPr="001339D3">
              <w:rPr>
                <w:rFonts w:ascii="Arial" w:hAnsi="Arial" w:cs="Arial"/>
                <w:sz w:val="20"/>
              </w:rPr>
              <w:t xml:space="preserve">                  4,002.80 </w:t>
            </w:r>
          </w:p>
        </w:tc>
      </w:tr>
      <w:tr w:rsidR="00664F47" w:rsidRPr="001339D3" w:rsidTr="00051A26">
        <w:trPr>
          <w:trHeight w:val="165"/>
        </w:trPr>
        <w:tc>
          <w:tcPr>
            <w:tcW w:w="6077" w:type="dxa"/>
            <w:gridSpan w:val="4"/>
            <w:tcBorders>
              <w:top w:val="nil"/>
              <w:left w:val="nil"/>
              <w:bottom w:val="nil"/>
              <w:right w:val="nil"/>
            </w:tcBorders>
            <w:noWrap/>
            <w:vAlign w:val="bottom"/>
          </w:tcPr>
          <w:p w:rsidR="00664F47" w:rsidRPr="001339D3" w:rsidRDefault="00664F47" w:rsidP="00D320EA">
            <w:pPr>
              <w:widowControl/>
              <w:rPr>
                <w:rFonts w:ascii="Tahoma" w:hAnsi="Tahoma" w:cs="Tahoma"/>
                <w:sz w:val="18"/>
                <w:szCs w:val="18"/>
              </w:rPr>
            </w:pPr>
            <w:r w:rsidRPr="001339D3">
              <w:rPr>
                <w:rFonts w:ascii="Tahoma" w:hAnsi="Tahoma" w:cs="Tahoma"/>
                <w:sz w:val="18"/>
                <w:szCs w:val="18"/>
              </w:rPr>
              <w:t xml:space="preserve">* The deductible cost would only be incurred when </w:t>
            </w:r>
            <w:r>
              <w:rPr>
                <w:rFonts w:ascii="Tahoma" w:hAnsi="Tahoma" w:cs="Tahoma"/>
                <w:sz w:val="18"/>
                <w:szCs w:val="18"/>
              </w:rPr>
              <w:t xml:space="preserve">a </w:t>
            </w:r>
            <w:r w:rsidRPr="001339D3">
              <w:rPr>
                <w:rFonts w:ascii="Tahoma" w:hAnsi="Tahoma" w:cs="Tahoma"/>
                <w:sz w:val="18"/>
                <w:szCs w:val="18"/>
              </w:rPr>
              <w:t xml:space="preserve">medical expense </w:t>
            </w:r>
            <w:r>
              <w:rPr>
                <w:rFonts w:ascii="Tahoma" w:hAnsi="Tahoma" w:cs="Tahoma"/>
                <w:sz w:val="18"/>
                <w:szCs w:val="18"/>
              </w:rPr>
              <w:t>a</w:t>
            </w:r>
            <w:r w:rsidRPr="001339D3">
              <w:rPr>
                <w:rFonts w:ascii="Tahoma" w:hAnsi="Tahoma" w:cs="Tahoma"/>
                <w:sz w:val="18"/>
                <w:szCs w:val="18"/>
              </w:rPr>
              <w:t>ctually occurred.</w:t>
            </w:r>
          </w:p>
        </w:tc>
        <w:tc>
          <w:tcPr>
            <w:tcW w:w="1317" w:type="dxa"/>
            <w:tcBorders>
              <w:top w:val="nil"/>
              <w:left w:val="nil"/>
              <w:bottom w:val="nil"/>
              <w:right w:val="nil"/>
            </w:tcBorders>
            <w:noWrap/>
            <w:vAlign w:val="bottom"/>
          </w:tcPr>
          <w:p w:rsidR="00664F47" w:rsidRPr="001339D3" w:rsidRDefault="00664F47" w:rsidP="001339D3">
            <w:pPr>
              <w:widowControl/>
              <w:rPr>
                <w:rFonts w:ascii="Tahoma" w:hAnsi="Tahoma" w:cs="Tahoma"/>
                <w:sz w:val="20"/>
              </w:rPr>
            </w:pPr>
          </w:p>
        </w:tc>
        <w:tc>
          <w:tcPr>
            <w:tcW w:w="1416" w:type="dxa"/>
            <w:tcBorders>
              <w:top w:val="nil"/>
              <w:left w:val="nil"/>
              <w:bottom w:val="nil"/>
              <w:right w:val="nil"/>
            </w:tcBorders>
            <w:noWrap/>
            <w:vAlign w:val="bottom"/>
          </w:tcPr>
          <w:p w:rsidR="00664F47" w:rsidRPr="001339D3" w:rsidRDefault="00664F47" w:rsidP="001339D3">
            <w:pPr>
              <w:widowControl/>
              <w:rPr>
                <w:rFonts w:ascii="Tahoma" w:hAnsi="Tahoma" w:cs="Tahoma"/>
                <w:sz w:val="20"/>
              </w:rPr>
            </w:pPr>
          </w:p>
        </w:tc>
        <w:tc>
          <w:tcPr>
            <w:tcW w:w="1471" w:type="dxa"/>
            <w:tcBorders>
              <w:top w:val="nil"/>
              <w:left w:val="nil"/>
              <w:bottom w:val="nil"/>
              <w:right w:val="nil"/>
            </w:tcBorders>
            <w:noWrap/>
            <w:vAlign w:val="bottom"/>
          </w:tcPr>
          <w:p w:rsidR="00664F47" w:rsidRPr="001339D3" w:rsidRDefault="00664F47" w:rsidP="001339D3">
            <w:pPr>
              <w:widowControl/>
              <w:rPr>
                <w:rFonts w:ascii="Arial" w:hAnsi="Arial" w:cs="Arial"/>
                <w:sz w:val="20"/>
              </w:rPr>
            </w:pPr>
          </w:p>
        </w:tc>
      </w:tr>
    </w:tbl>
    <w:p w:rsidR="00664F47" w:rsidRDefault="00664F47" w:rsidP="0015662E">
      <w:pPr>
        <w:jc w:val="both"/>
        <w:rPr>
          <w:szCs w:val="24"/>
        </w:rPr>
      </w:pPr>
    </w:p>
    <w:p w:rsidR="00664F47" w:rsidRDefault="00664F47" w:rsidP="0015662E">
      <w:pPr>
        <w:jc w:val="both"/>
        <w:rPr>
          <w:szCs w:val="24"/>
        </w:rPr>
      </w:pPr>
      <w:r w:rsidRPr="00F03222">
        <w:rPr>
          <w:szCs w:val="24"/>
        </w:rPr>
        <w:t xml:space="preserve">Currently the County is </w:t>
      </w:r>
      <w:r>
        <w:rPr>
          <w:szCs w:val="24"/>
        </w:rPr>
        <w:t>using Option II which contains the</w:t>
      </w:r>
      <w:r w:rsidRPr="00F03222">
        <w:rPr>
          <w:szCs w:val="24"/>
        </w:rPr>
        <w:t xml:space="preserve"> lowe</w:t>
      </w:r>
      <w:r>
        <w:rPr>
          <w:szCs w:val="24"/>
        </w:rPr>
        <w:t>st</w:t>
      </w:r>
      <w:r w:rsidRPr="00F03222">
        <w:rPr>
          <w:szCs w:val="24"/>
        </w:rPr>
        <w:t xml:space="preserve"> co-pay </w:t>
      </w:r>
      <w:r>
        <w:rPr>
          <w:szCs w:val="24"/>
        </w:rPr>
        <w:t xml:space="preserve">to the employee.    </w:t>
      </w:r>
      <w:r w:rsidRPr="00F03222">
        <w:rPr>
          <w:szCs w:val="24"/>
        </w:rPr>
        <w:t xml:space="preserve"> The schedules of co-pays for each plan are presented as an attachment to this agenda item.  </w:t>
      </w:r>
    </w:p>
    <w:p w:rsidR="00664F47" w:rsidRDefault="00664F47" w:rsidP="0015662E">
      <w:pPr>
        <w:jc w:val="both"/>
        <w:rPr>
          <w:szCs w:val="24"/>
        </w:rPr>
      </w:pPr>
    </w:p>
    <w:p w:rsidR="00664F47" w:rsidRPr="00F03222" w:rsidRDefault="00664F47" w:rsidP="008831E1">
      <w:pPr>
        <w:jc w:val="both"/>
        <w:rPr>
          <w:szCs w:val="24"/>
        </w:rPr>
      </w:pPr>
      <w:r w:rsidRPr="00F03222">
        <w:rPr>
          <w:szCs w:val="24"/>
        </w:rPr>
        <w:t>Each of these options require</w:t>
      </w:r>
      <w:r>
        <w:rPr>
          <w:szCs w:val="24"/>
        </w:rPr>
        <w:t>s</w:t>
      </w:r>
      <w:r w:rsidRPr="00F03222">
        <w:rPr>
          <w:szCs w:val="24"/>
        </w:rPr>
        <w:t xml:space="preserve"> an increase in costs</w:t>
      </w:r>
      <w:r>
        <w:rPr>
          <w:szCs w:val="24"/>
        </w:rPr>
        <w:t xml:space="preserve"> to either the Board or the employee</w:t>
      </w:r>
      <w:r w:rsidRPr="00F03222">
        <w:rPr>
          <w:szCs w:val="24"/>
        </w:rPr>
        <w:t>.  Since employees have not had a Cost of Living Adjustment (COLA) in the last two years and recently had to absorb a 3% increase in Florida Retirement System (FRS) contribution</w:t>
      </w:r>
      <w:r>
        <w:rPr>
          <w:szCs w:val="24"/>
        </w:rPr>
        <w:t xml:space="preserve">, </w:t>
      </w:r>
      <w:r w:rsidRPr="00F03222">
        <w:rPr>
          <w:szCs w:val="24"/>
        </w:rPr>
        <w:t>it is staff’s recommendation that</w:t>
      </w:r>
      <w:r>
        <w:rPr>
          <w:szCs w:val="24"/>
        </w:rPr>
        <w:t xml:space="preserve"> the Board approve Option II.   </w:t>
      </w:r>
      <w:r w:rsidRPr="00F03222">
        <w:rPr>
          <w:szCs w:val="24"/>
        </w:rPr>
        <w:t xml:space="preserve">This will minimize </w:t>
      </w:r>
      <w:r>
        <w:rPr>
          <w:szCs w:val="24"/>
        </w:rPr>
        <w:t xml:space="preserve">additional </w:t>
      </w:r>
      <w:r w:rsidRPr="00F03222">
        <w:rPr>
          <w:szCs w:val="24"/>
        </w:rPr>
        <w:t xml:space="preserve">impact on employees, particularly </w:t>
      </w:r>
      <w:r>
        <w:rPr>
          <w:szCs w:val="24"/>
        </w:rPr>
        <w:t xml:space="preserve">all </w:t>
      </w:r>
      <w:r w:rsidRPr="00F03222">
        <w:rPr>
          <w:szCs w:val="24"/>
        </w:rPr>
        <w:t>BOCC employees who are experiencing furlough days</w:t>
      </w:r>
      <w:r>
        <w:rPr>
          <w:szCs w:val="24"/>
        </w:rPr>
        <w:t xml:space="preserve"> in the current fiscal year</w:t>
      </w:r>
      <w:r w:rsidRPr="00F03222">
        <w:rPr>
          <w:szCs w:val="24"/>
        </w:rPr>
        <w:t xml:space="preserve">. </w:t>
      </w:r>
      <w:r>
        <w:rPr>
          <w:szCs w:val="24"/>
        </w:rPr>
        <w:t xml:space="preserve">  Whichever option the Board decides, staff is recommending that the funding come from the budgeted reserve.  </w:t>
      </w:r>
      <w:r w:rsidRPr="00F03222">
        <w:rPr>
          <w:szCs w:val="24"/>
        </w:rPr>
        <w:t>The following</w:t>
      </w:r>
      <w:r>
        <w:rPr>
          <w:szCs w:val="24"/>
        </w:rPr>
        <w:t xml:space="preserve"> chart</w:t>
      </w:r>
      <w:r w:rsidRPr="00F03222">
        <w:rPr>
          <w:szCs w:val="24"/>
        </w:rPr>
        <w:t xml:space="preserve"> is a breakdown of the additional costs for </w:t>
      </w:r>
      <w:r>
        <w:rPr>
          <w:szCs w:val="24"/>
        </w:rPr>
        <w:t xml:space="preserve">the BoCC and </w:t>
      </w:r>
      <w:r w:rsidRPr="00F03222">
        <w:rPr>
          <w:szCs w:val="24"/>
        </w:rPr>
        <w:t>each</w:t>
      </w:r>
      <w:r>
        <w:rPr>
          <w:szCs w:val="24"/>
        </w:rPr>
        <w:t xml:space="preserve"> Constitutional Office for Options I and II.</w:t>
      </w:r>
    </w:p>
    <w:p w:rsidR="00664F47" w:rsidRPr="00F03222" w:rsidRDefault="00664F47" w:rsidP="008831E1">
      <w:pPr>
        <w:jc w:val="both"/>
        <w:rPr>
          <w:szCs w:val="24"/>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9"/>
        <w:gridCol w:w="1596"/>
        <w:gridCol w:w="1463"/>
        <w:gridCol w:w="1503"/>
      </w:tblGrid>
      <w:tr w:rsidR="00664F47" w:rsidRPr="00F03222" w:rsidTr="009A30E1">
        <w:trPr>
          <w:trHeight w:val="300"/>
          <w:jc w:val="center"/>
        </w:trPr>
        <w:tc>
          <w:tcPr>
            <w:tcW w:w="0" w:type="auto"/>
            <w:gridSpan w:val="4"/>
            <w:noWrap/>
            <w:vAlign w:val="bottom"/>
          </w:tcPr>
          <w:p w:rsidR="00664F47" w:rsidRPr="00F03222" w:rsidRDefault="00664F47" w:rsidP="00AB309C">
            <w:pPr>
              <w:widowControl/>
              <w:jc w:val="center"/>
              <w:rPr>
                <w:color w:val="000000"/>
                <w:szCs w:val="24"/>
              </w:rPr>
            </w:pPr>
            <w:r w:rsidRPr="00F03222">
              <w:rPr>
                <w:color w:val="000000"/>
                <w:szCs w:val="24"/>
              </w:rPr>
              <w:t>Health Insurance Premium Adjustment</w:t>
            </w:r>
          </w:p>
        </w:tc>
      </w:tr>
      <w:tr w:rsidR="00664F47" w:rsidRPr="00F03222" w:rsidTr="009A30E1">
        <w:trPr>
          <w:trHeight w:val="300"/>
          <w:jc w:val="center"/>
        </w:trPr>
        <w:tc>
          <w:tcPr>
            <w:tcW w:w="0" w:type="auto"/>
            <w:noWrap/>
            <w:vAlign w:val="bottom"/>
          </w:tcPr>
          <w:p w:rsidR="00664F47" w:rsidRPr="00F03222" w:rsidRDefault="00664F47" w:rsidP="00AB309C">
            <w:pPr>
              <w:widowControl/>
              <w:jc w:val="center"/>
              <w:rPr>
                <w:color w:val="000000"/>
                <w:szCs w:val="24"/>
              </w:rPr>
            </w:pPr>
            <w:r w:rsidRPr="00F03222">
              <w:rPr>
                <w:color w:val="000000"/>
                <w:szCs w:val="24"/>
              </w:rPr>
              <w:t> </w:t>
            </w:r>
          </w:p>
        </w:tc>
        <w:tc>
          <w:tcPr>
            <w:tcW w:w="0" w:type="auto"/>
            <w:noWrap/>
            <w:vAlign w:val="bottom"/>
          </w:tcPr>
          <w:p w:rsidR="00664F47" w:rsidRPr="00F03222" w:rsidRDefault="00664F47" w:rsidP="00AB309C">
            <w:pPr>
              <w:widowControl/>
              <w:jc w:val="center"/>
              <w:rPr>
                <w:color w:val="000000"/>
                <w:szCs w:val="24"/>
              </w:rPr>
            </w:pPr>
            <w:r w:rsidRPr="00F03222">
              <w:rPr>
                <w:color w:val="000000"/>
                <w:szCs w:val="24"/>
              </w:rPr>
              <w:t>Current Cost</w:t>
            </w:r>
          </w:p>
        </w:tc>
        <w:tc>
          <w:tcPr>
            <w:tcW w:w="0" w:type="auto"/>
            <w:noWrap/>
            <w:vAlign w:val="bottom"/>
          </w:tcPr>
          <w:p w:rsidR="00664F47" w:rsidRPr="00F03222" w:rsidRDefault="00664F47" w:rsidP="00AB309C">
            <w:pPr>
              <w:widowControl/>
              <w:jc w:val="center"/>
              <w:rPr>
                <w:color w:val="000000"/>
                <w:szCs w:val="24"/>
              </w:rPr>
            </w:pPr>
            <w:r>
              <w:rPr>
                <w:color w:val="000000"/>
                <w:szCs w:val="24"/>
              </w:rPr>
              <w:t>Option 1-</w:t>
            </w:r>
            <w:r w:rsidRPr="00F03222">
              <w:rPr>
                <w:color w:val="000000"/>
                <w:szCs w:val="24"/>
              </w:rPr>
              <w:t>1%</w:t>
            </w:r>
          </w:p>
        </w:tc>
        <w:tc>
          <w:tcPr>
            <w:tcW w:w="0" w:type="auto"/>
            <w:noWrap/>
            <w:vAlign w:val="bottom"/>
          </w:tcPr>
          <w:p w:rsidR="00664F47" w:rsidRPr="00F03222" w:rsidRDefault="00664F47" w:rsidP="00AB309C">
            <w:pPr>
              <w:widowControl/>
              <w:jc w:val="center"/>
              <w:rPr>
                <w:color w:val="000000"/>
                <w:szCs w:val="24"/>
              </w:rPr>
            </w:pPr>
            <w:r>
              <w:rPr>
                <w:color w:val="000000"/>
                <w:szCs w:val="24"/>
              </w:rPr>
              <w:t>Option II-</w:t>
            </w:r>
            <w:r w:rsidRPr="00F03222">
              <w:rPr>
                <w:color w:val="000000"/>
                <w:szCs w:val="24"/>
              </w:rPr>
              <w:t>4%</w:t>
            </w:r>
          </w:p>
        </w:tc>
      </w:tr>
      <w:tr w:rsidR="00664F47" w:rsidRPr="00F03222" w:rsidTr="009A30E1">
        <w:trPr>
          <w:trHeight w:val="300"/>
          <w:jc w:val="center"/>
        </w:trPr>
        <w:tc>
          <w:tcPr>
            <w:tcW w:w="0" w:type="auto"/>
            <w:noWrap/>
            <w:vAlign w:val="bottom"/>
          </w:tcPr>
          <w:p w:rsidR="00664F47" w:rsidRPr="00F03222" w:rsidRDefault="00664F47" w:rsidP="00AB309C">
            <w:pPr>
              <w:widowControl/>
              <w:rPr>
                <w:color w:val="000000"/>
                <w:szCs w:val="24"/>
              </w:rPr>
            </w:pPr>
            <w:r w:rsidRPr="00F03222">
              <w:rPr>
                <w:color w:val="000000"/>
                <w:szCs w:val="24"/>
              </w:rPr>
              <w:t>BOCC</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407,295 </w:t>
            </w:r>
          </w:p>
        </w:tc>
        <w:tc>
          <w:tcPr>
            <w:tcW w:w="0" w:type="auto"/>
            <w:noWrap/>
            <w:vAlign w:val="bottom"/>
          </w:tcPr>
          <w:p w:rsidR="00664F47" w:rsidRPr="00F03222" w:rsidRDefault="00664F47" w:rsidP="00DC112D">
            <w:pPr>
              <w:widowControl/>
              <w:rPr>
                <w:color w:val="000000"/>
                <w:szCs w:val="24"/>
              </w:rPr>
            </w:pPr>
            <w:r w:rsidRPr="00F03222">
              <w:rPr>
                <w:color w:val="000000"/>
                <w:szCs w:val="24"/>
              </w:rPr>
              <w:t xml:space="preserve"> $    4,837 </w:t>
            </w:r>
          </w:p>
        </w:tc>
        <w:tc>
          <w:tcPr>
            <w:tcW w:w="0" w:type="auto"/>
            <w:noWrap/>
            <w:vAlign w:val="bottom"/>
          </w:tcPr>
          <w:p w:rsidR="00664F47" w:rsidRPr="00F03222" w:rsidRDefault="00664F47" w:rsidP="00DC112D">
            <w:pPr>
              <w:widowControl/>
              <w:rPr>
                <w:color w:val="000000"/>
                <w:szCs w:val="24"/>
              </w:rPr>
            </w:pPr>
            <w:r w:rsidRPr="00F03222">
              <w:rPr>
                <w:color w:val="000000"/>
                <w:szCs w:val="24"/>
              </w:rPr>
              <w:t xml:space="preserve"> $  19,126 </w:t>
            </w:r>
          </w:p>
        </w:tc>
      </w:tr>
      <w:tr w:rsidR="00664F47" w:rsidRPr="00F03222" w:rsidTr="009A30E1">
        <w:trPr>
          <w:trHeight w:val="300"/>
          <w:jc w:val="center"/>
        </w:trPr>
        <w:tc>
          <w:tcPr>
            <w:tcW w:w="0" w:type="auto"/>
            <w:noWrap/>
            <w:vAlign w:val="bottom"/>
          </w:tcPr>
          <w:p w:rsidR="00664F47" w:rsidRPr="00F03222" w:rsidRDefault="00664F47" w:rsidP="00AB309C">
            <w:pPr>
              <w:widowControl/>
              <w:rPr>
                <w:color w:val="000000"/>
                <w:szCs w:val="24"/>
              </w:rPr>
            </w:pPr>
            <w:r w:rsidRPr="00F03222">
              <w:rPr>
                <w:color w:val="000000"/>
                <w:szCs w:val="24"/>
              </w:rPr>
              <w:t>Supervisor of Elections</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11,640 </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   </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   </w:t>
            </w:r>
          </w:p>
        </w:tc>
      </w:tr>
      <w:tr w:rsidR="00664F47" w:rsidRPr="00F03222" w:rsidTr="009A30E1">
        <w:trPr>
          <w:trHeight w:val="300"/>
          <w:jc w:val="center"/>
        </w:trPr>
        <w:tc>
          <w:tcPr>
            <w:tcW w:w="0" w:type="auto"/>
            <w:noWrap/>
            <w:vAlign w:val="bottom"/>
          </w:tcPr>
          <w:p w:rsidR="00664F47" w:rsidRPr="00F03222" w:rsidRDefault="00664F47" w:rsidP="00AB309C">
            <w:pPr>
              <w:widowControl/>
              <w:rPr>
                <w:color w:val="000000"/>
                <w:szCs w:val="24"/>
              </w:rPr>
            </w:pPr>
            <w:r w:rsidRPr="00F03222">
              <w:rPr>
                <w:color w:val="000000"/>
                <w:szCs w:val="24"/>
              </w:rPr>
              <w:t>Clerk of Court</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62,068 </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620 </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2,482 </w:t>
            </w:r>
          </w:p>
        </w:tc>
      </w:tr>
      <w:tr w:rsidR="00664F47" w:rsidRPr="00F03222" w:rsidTr="009A30E1">
        <w:trPr>
          <w:trHeight w:val="300"/>
          <w:jc w:val="center"/>
        </w:trPr>
        <w:tc>
          <w:tcPr>
            <w:tcW w:w="0" w:type="auto"/>
            <w:noWrap/>
            <w:vAlign w:val="bottom"/>
          </w:tcPr>
          <w:p w:rsidR="00664F47" w:rsidRPr="00F03222" w:rsidRDefault="00664F47" w:rsidP="00AB309C">
            <w:pPr>
              <w:widowControl/>
              <w:rPr>
                <w:color w:val="000000"/>
                <w:szCs w:val="24"/>
              </w:rPr>
            </w:pPr>
            <w:r w:rsidRPr="00F03222">
              <w:rPr>
                <w:color w:val="000000"/>
                <w:szCs w:val="24"/>
              </w:rPr>
              <w:t>Sheriff's Dept.</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1,052,210 </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10,522 </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42,088 </w:t>
            </w:r>
          </w:p>
        </w:tc>
      </w:tr>
      <w:tr w:rsidR="00664F47" w:rsidRPr="00F03222" w:rsidTr="009A30E1">
        <w:trPr>
          <w:trHeight w:val="300"/>
          <w:jc w:val="center"/>
        </w:trPr>
        <w:tc>
          <w:tcPr>
            <w:tcW w:w="0" w:type="auto"/>
            <w:noWrap/>
            <w:vAlign w:val="bottom"/>
          </w:tcPr>
          <w:p w:rsidR="00664F47" w:rsidRPr="00F03222" w:rsidRDefault="00664F47" w:rsidP="00AB309C">
            <w:pPr>
              <w:widowControl/>
              <w:rPr>
                <w:color w:val="000000"/>
                <w:szCs w:val="24"/>
              </w:rPr>
            </w:pPr>
            <w:r w:rsidRPr="00F03222">
              <w:rPr>
                <w:color w:val="000000"/>
                <w:szCs w:val="24"/>
              </w:rPr>
              <w:t>Tax Collector</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51,496 </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515 </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2,060 </w:t>
            </w:r>
          </w:p>
        </w:tc>
      </w:tr>
      <w:tr w:rsidR="00664F47" w:rsidRPr="00F03222" w:rsidTr="009A30E1">
        <w:trPr>
          <w:trHeight w:val="300"/>
          <w:jc w:val="center"/>
        </w:trPr>
        <w:tc>
          <w:tcPr>
            <w:tcW w:w="0" w:type="auto"/>
            <w:noWrap/>
            <w:vAlign w:val="bottom"/>
          </w:tcPr>
          <w:p w:rsidR="00664F47" w:rsidRPr="00F03222" w:rsidRDefault="00664F47" w:rsidP="00AB309C">
            <w:pPr>
              <w:widowControl/>
              <w:rPr>
                <w:color w:val="000000"/>
                <w:szCs w:val="24"/>
              </w:rPr>
            </w:pPr>
            <w:r w:rsidRPr="00F03222">
              <w:rPr>
                <w:color w:val="000000"/>
                <w:szCs w:val="24"/>
              </w:rPr>
              <w:t>Property Appraiser</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75,670 </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(685)</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1,543 </w:t>
            </w:r>
          </w:p>
        </w:tc>
      </w:tr>
      <w:tr w:rsidR="00664F47" w:rsidRPr="00F03222" w:rsidTr="009A30E1">
        <w:trPr>
          <w:trHeight w:val="300"/>
          <w:jc w:val="center"/>
        </w:trPr>
        <w:tc>
          <w:tcPr>
            <w:tcW w:w="0" w:type="auto"/>
            <w:noWrap/>
            <w:vAlign w:val="bottom"/>
          </w:tcPr>
          <w:p w:rsidR="00664F47" w:rsidRPr="00F03222" w:rsidRDefault="00664F47" w:rsidP="00F03222">
            <w:pPr>
              <w:widowControl/>
              <w:jc w:val="right"/>
              <w:rPr>
                <w:color w:val="000000"/>
                <w:szCs w:val="24"/>
              </w:rPr>
            </w:pPr>
            <w:r w:rsidRPr="00F03222">
              <w:rPr>
                <w:color w:val="000000"/>
                <w:szCs w:val="24"/>
              </w:rPr>
              <w:t>Total</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1,660,379 </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15,045 </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64,465 </w:t>
            </w:r>
          </w:p>
        </w:tc>
      </w:tr>
      <w:tr w:rsidR="00664F47" w:rsidRPr="00F03222" w:rsidTr="009A30E1">
        <w:trPr>
          <w:trHeight w:val="300"/>
          <w:jc w:val="center"/>
        </w:trPr>
        <w:tc>
          <w:tcPr>
            <w:tcW w:w="0" w:type="auto"/>
            <w:noWrap/>
            <w:vAlign w:val="bottom"/>
          </w:tcPr>
          <w:p w:rsidR="00664F47" w:rsidRPr="00F03222" w:rsidRDefault="00664F47" w:rsidP="00AB309C">
            <w:pPr>
              <w:widowControl/>
              <w:rPr>
                <w:color w:val="000000"/>
                <w:szCs w:val="24"/>
              </w:rPr>
            </w:pPr>
            <w:r w:rsidRPr="00F03222">
              <w:rPr>
                <w:color w:val="000000"/>
                <w:szCs w:val="24"/>
              </w:rPr>
              <w:t>Reserve Totals</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480,000</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$ 464,955</w:t>
            </w:r>
          </w:p>
        </w:tc>
        <w:tc>
          <w:tcPr>
            <w:tcW w:w="0" w:type="auto"/>
            <w:noWrap/>
            <w:vAlign w:val="bottom"/>
          </w:tcPr>
          <w:p w:rsidR="00664F47" w:rsidRPr="00F03222" w:rsidRDefault="00664F47" w:rsidP="00AB309C">
            <w:pPr>
              <w:widowControl/>
              <w:rPr>
                <w:color w:val="000000"/>
                <w:szCs w:val="24"/>
              </w:rPr>
            </w:pPr>
            <w:r w:rsidRPr="00F03222">
              <w:rPr>
                <w:color w:val="000000"/>
                <w:szCs w:val="24"/>
              </w:rPr>
              <w:t xml:space="preserve"> $ 415,535</w:t>
            </w:r>
          </w:p>
        </w:tc>
      </w:tr>
    </w:tbl>
    <w:p w:rsidR="00664F47" w:rsidRDefault="00664F47" w:rsidP="008831E1">
      <w:pPr>
        <w:jc w:val="both"/>
        <w:rPr>
          <w:szCs w:val="24"/>
        </w:rPr>
      </w:pPr>
    </w:p>
    <w:p w:rsidR="00664F47" w:rsidRPr="00F03222" w:rsidRDefault="00664F47" w:rsidP="005011E8">
      <w:pPr>
        <w:jc w:val="both"/>
        <w:rPr>
          <w:i/>
          <w:szCs w:val="24"/>
          <w:u w:val="single"/>
        </w:rPr>
      </w:pPr>
      <w:r w:rsidRPr="00F03222">
        <w:rPr>
          <w:b/>
          <w:szCs w:val="24"/>
          <w:u w:val="single"/>
        </w:rPr>
        <w:t>Capital Improvements Projects Update</w:t>
      </w:r>
    </w:p>
    <w:p w:rsidR="00664F47" w:rsidRPr="00F03222" w:rsidRDefault="00664F47" w:rsidP="0094045B">
      <w:pPr>
        <w:spacing w:before="120"/>
        <w:jc w:val="both"/>
        <w:rPr>
          <w:i/>
          <w:szCs w:val="24"/>
          <w:u w:val="single"/>
        </w:rPr>
      </w:pPr>
      <w:r w:rsidRPr="00F03222">
        <w:rPr>
          <w:i/>
          <w:szCs w:val="24"/>
          <w:u w:val="single"/>
        </w:rPr>
        <w:t>Updates to FY2011/2012 CIP</w:t>
      </w:r>
    </w:p>
    <w:p w:rsidR="00664F47" w:rsidRPr="00F03222" w:rsidRDefault="00664F47" w:rsidP="00E96690">
      <w:pPr>
        <w:jc w:val="both"/>
        <w:rPr>
          <w:szCs w:val="24"/>
        </w:rPr>
      </w:pPr>
      <w:r w:rsidRPr="00F03222">
        <w:rPr>
          <w:szCs w:val="24"/>
        </w:rPr>
        <w:t>The FY2011/12 Capital Improvement Plan (CIP) has been reduced considerably from FY2010/11, almost $2,000,000 less has been budgeted from county funded projects.  This reduction is designed to help the County build up adequate cash reserves.  Each fund which contains capital projects has been limited to existing projects that have been put on-hold or projects supported by grant funding.  All other cash balances have been pushed to reserve to help with the overall fund balance of the County’s FY2011/12 budget.  Since the submission of the Tentative Budget on July 15, 2011, staff has reconsidered the implementation of any new projects and taken several projects off the table for FY2011/12.  These projects include the following:</w:t>
      </w:r>
    </w:p>
    <w:p w:rsidR="00664F47" w:rsidRPr="00F03222" w:rsidRDefault="00664F47" w:rsidP="00E96690">
      <w:pPr>
        <w:jc w:val="both"/>
        <w:rPr>
          <w:szCs w:val="24"/>
        </w:rPr>
      </w:pP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6"/>
        <w:gridCol w:w="830"/>
        <w:gridCol w:w="2249"/>
        <w:gridCol w:w="1536"/>
      </w:tblGrid>
      <w:tr w:rsidR="00664F47" w:rsidRPr="00F03222" w:rsidTr="00DE3981">
        <w:tc>
          <w:tcPr>
            <w:tcW w:w="4666" w:type="dxa"/>
          </w:tcPr>
          <w:p w:rsidR="00664F47" w:rsidRPr="00DE3981" w:rsidRDefault="00664F47" w:rsidP="00DE3981">
            <w:pPr>
              <w:jc w:val="center"/>
              <w:rPr>
                <w:szCs w:val="24"/>
              </w:rPr>
            </w:pPr>
            <w:r w:rsidRPr="00DE3981">
              <w:rPr>
                <w:szCs w:val="24"/>
              </w:rPr>
              <w:t>Project</w:t>
            </w:r>
          </w:p>
        </w:tc>
        <w:tc>
          <w:tcPr>
            <w:tcW w:w="830" w:type="dxa"/>
          </w:tcPr>
          <w:p w:rsidR="00664F47" w:rsidRPr="00DE3981" w:rsidRDefault="00664F47" w:rsidP="00DE3981">
            <w:pPr>
              <w:jc w:val="center"/>
              <w:rPr>
                <w:szCs w:val="24"/>
              </w:rPr>
            </w:pPr>
            <w:r w:rsidRPr="00DE3981">
              <w:rPr>
                <w:szCs w:val="24"/>
              </w:rPr>
              <w:t>Fund</w:t>
            </w:r>
          </w:p>
        </w:tc>
        <w:tc>
          <w:tcPr>
            <w:tcW w:w="2249" w:type="dxa"/>
          </w:tcPr>
          <w:p w:rsidR="00664F47" w:rsidRPr="00DE3981" w:rsidRDefault="00664F47" w:rsidP="00DE3981">
            <w:pPr>
              <w:jc w:val="center"/>
              <w:rPr>
                <w:szCs w:val="24"/>
              </w:rPr>
            </w:pPr>
            <w:r w:rsidRPr="00DE3981">
              <w:rPr>
                <w:szCs w:val="24"/>
              </w:rPr>
              <w:t>Fund Name</w:t>
            </w:r>
          </w:p>
        </w:tc>
        <w:tc>
          <w:tcPr>
            <w:tcW w:w="1536" w:type="dxa"/>
          </w:tcPr>
          <w:p w:rsidR="00664F47" w:rsidRPr="00DE3981" w:rsidRDefault="00664F47" w:rsidP="00DE3981">
            <w:pPr>
              <w:jc w:val="center"/>
              <w:rPr>
                <w:szCs w:val="24"/>
              </w:rPr>
            </w:pPr>
            <w:r w:rsidRPr="00DE3981">
              <w:rPr>
                <w:szCs w:val="24"/>
              </w:rPr>
              <w:t>Amount</w:t>
            </w:r>
          </w:p>
        </w:tc>
      </w:tr>
      <w:tr w:rsidR="00664F47" w:rsidRPr="00F03222" w:rsidTr="00DE3981">
        <w:tc>
          <w:tcPr>
            <w:tcW w:w="4666" w:type="dxa"/>
          </w:tcPr>
          <w:p w:rsidR="00664F47" w:rsidRPr="00DE3981" w:rsidRDefault="00664F47" w:rsidP="00DE3981">
            <w:pPr>
              <w:jc w:val="both"/>
              <w:rPr>
                <w:szCs w:val="24"/>
              </w:rPr>
            </w:pPr>
            <w:r w:rsidRPr="00DE3981">
              <w:rPr>
                <w:szCs w:val="24"/>
              </w:rPr>
              <w:t>Correctional Facility Building Enhancements</w:t>
            </w:r>
          </w:p>
        </w:tc>
        <w:tc>
          <w:tcPr>
            <w:tcW w:w="830" w:type="dxa"/>
          </w:tcPr>
          <w:p w:rsidR="00664F47" w:rsidRPr="00DE3981" w:rsidRDefault="00664F47" w:rsidP="00DE3981">
            <w:pPr>
              <w:jc w:val="both"/>
              <w:rPr>
                <w:szCs w:val="24"/>
              </w:rPr>
            </w:pPr>
            <w:r w:rsidRPr="00DE3981">
              <w:rPr>
                <w:szCs w:val="24"/>
              </w:rPr>
              <w:t>307</w:t>
            </w:r>
          </w:p>
        </w:tc>
        <w:tc>
          <w:tcPr>
            <w:tcW w:w="2249" w:type="dxa"/>
          </w:tcPr>
          <w:p w:rsidR="00664F47" w:rsidRPr="00DE3981" w:rsidRDefault="00664F47" w:rsidP="00DE3981">
            <w:pPr>
              <w:jc w:val="both"/>
              <w:rPr>
                <w:szCs w:val="24"/>
              </w:rPr>
            </w:pPr>
            <w:r w:rsidRPr="00DE3981">
              <w:rPr>
                <w:szCs w:val="24"/>
              </w:rPr>
              <w:t>Impact Fees</w:t>
            </w:r>
          </w:p>
        </w:tc>
        <w:tc>
          <w:tcPr>
            <w:tcW w:w="1536" w:type="dxa"/>
          </w:tcPr>
          <w:p w:rsidR="00664F47" w:rsidRPr="00DE3981" w:rsidRDefault="00664F47" w:rsidP="00DE3981">
            <w:pPr>
              <w:jc w:val="both"/>
              <w:rPr>
                <w:szCs w:val="24"/>
              </w:rPr>
            </w:pPr>
            <w:r w:rsidRPr="00DE3981">
              <w:rPr>
                <w:szCs w:val="24"/>
              </w:rPr>
              <w:t>$       50,000</w:t>
            </w:r>
          </w:p>
        </w:tc>
      </w:tr>
      <w:tr w:rsidR="00664F47" w:rsidRPr="00F03222" w:rsidTr="00DE3981">
        <w:tc>
          <w:tcPr>
            <w:tcW w:w="4666" w:type="dxa"/>
          </w:tcPr>
          <w:p w:rsidR="00664F47" w:rsidRPr="00DE3981" w:rsidRDefault="00664F47" w:rsidP="00DE3981">
            <w:pPr>
              <w:jc w:val="both"/>
              <w:rPr>
                <w:szCs w:val="24"/>
              </w:rPr>
            </w:pPr>
            <w:r w:rsidRPr="00DE3981">
              <w:rPr>
                <w:szCs w:val="24"/>
              </w:rPr>
              <w:t>Law Enforcement Building Enhancements</w:t>
            </w:r>
          </w:p>
        </w:tc>
        <w:tc>
          <w:tcPr>
            <w:tcW w:w="830" w:type="dxa"/>
          </w:tcPr>
          <w:p w:rsidR="00664F47" w:rsidRPr="00DE3981" w:rsidRDefault="00664F47" w:rsidP="00DE3981">
            <w:pPr>
              <w:jc w:val="both"/>
              <w:rPr>
                <w:szCs w:val="24"/>
              </w:rPr>
            </w:pPr>
            <w:r w:rsidRPr="00DE3981">
              <w:rPr>
                <w:szCs w:val="24"/>
              </w:rPr>
              <w:t>307</w:t>
            </w:r>
          </w:p>
        </w:tc>
        <w:tc>
          <w:tcPr>
            <w:tcW w:w="2249" w:type="dxa"/>
          </w:tcPr>
          <w:p w:rsidR="00664F47" w:rsidRPr="00DE3981" w:rsidRDefault="00664F47" w:rsidP="00DE3981">
            <w:pPr>
              <w:jc w:val="both"/>
              <w:rPr>
                <w:szCs w:val="24"/>
              </w:rPr>
            </w:pPr>
            <w:r w:rsidRPr="00DE3981">
              <w:rPr>
                <w:szCs w:val="24"/>
              </w:rPr>
              <w:t>Impact Fees</w:t>
            </w:r>
          </w:p>
        </w:tc>
        <w:tc>
          <w:tcPr>
            <w:tcW w:w="1536" w:type="dxa"/>
          </w:tcPr>
          <w:p w:rsidR="00664F47" w:rsidRPr="00DE3981" w:rsidRDefault="00664F47" w:rsidP="00DE3981">
            <w:pPr>
              <w:jc w:val="both"/>
              <w:rPr>
                <w:szCs w:val="24"/>
              </w:rPr>
            </w:pPr>
            <w:r w:rsidRPr="00DE3981">
              <w:rPr>
                <w:szCs w:val="24"/>
              </w:rPr>
              <w:t>$       75,000</w:t>
            </w:r>
          </w:p>
        </w:tc>
      </w:tr>
      <w:tr w:rsidR="00664F47" w:rsidRPr="00F03222" w:rsidTr="00DE3981">
        <w:tc>
          <w:tcPr>
            <w:tcW w:w="4666" w:type="dxa"/>
          </w:tcPr>
          <w:p w:rsidR="00664F47" w:rsidRPr="00DE3981" w:rsidRDefault="00664F47" w:rsidP="00DE3981">
            <w:pPr>
              <w:jc w:val="both"/>
              <w:rPr>
                <w:szCs w:val="24"/>
              </w:rPr>
            </w:pPr>
            <w:r w:rsidRPr="00DE3981">
              <w:rPr>
                <w:szCs w:val="24"/>
              </w:rPr>
              <w:t>Community Center Improvements</w:t>
            </w:r>
          </w:p>
        </w:tc>
        <w:tc>
          <w:tcPr>
            <w:tcW w:w="830" w:type="dxa"/>
          </w:tcPr>
          <w:p w:rsidR="00664F47" w:rsidRPr="00DE3981" w:rsidRDefault="00664F47" w:rsidP="00DE3981">
            <w:pPr>
              <w:jc w:val="both"/>
              <w:rPr>
                <w:szCs w:val="24"/>
              </w:rPr>
            </w:pPr>
            <w:r w:rsidRPr="00DE3981">
              <w:rPr>
                <w:szCs w:val="24"/>
              </w:rPr>
              <w:t>307</w:t>
            </w:r>
          </w:p>
        </w:tc>
        <w:tc>
          <w:tcPr>
            <w:tcW w:w="2249" w:type="dxa"/>
          </w:tcPr>
          <w:p w:rsidR="00664F47" w:rsidRPr="00DE3981" w:rsidRDefault="00664F47" w:rsidP="00DE3981">
            <w:pPr>
              <w:jc w:val="both"/>
              <w:rPr>
                <w:szCs w:val="24"/>
              </w:rPr>
            </w:pPr>
            <w:r w:rsidRPr="00DE3981">
              <w:rPr>
                <w:szCs w:val="24"/>
              </w:rPr>
              <w:t>Impact Fees</w:t>
            </w:r>
          </w:p>
        </w:tc>
        <w:tc>
          <w:tcPr>
            <w:tcW w:w="1536" w:type="dxa"/>
          </w:tcPr>
          <w:p w:rsidR="00664F47" w:rsidRPr="00DE3981" w:rsidRDefault="00664F47" w:rsidP="00DE3981">
            <w:pPr>
              <w:jc w:val="both"/>
              <w:rPr>
                <w:szCs w:val="24"/>
              </w:rPr>
            </w:pPr>
            <w:r w:rsidRPr="00DE3981">
              <w:rPr>
                <w:szCs w:val="24"/>
              </w:rPr>
              <w:t>$     175,000</w:t>
            </w:r>
          </w:p>
        </w:tc>
      </w:tr>
      <w:tr w:rsidR="00664F47" w:rsidRPr="00F03222" w:rsidTr="00DE3981">
        <w:tc>
          <w:tcPr>
            <w:tcW w:w="4666" w:type="dxa"/>
          </w:tcPr>
          <w:p w:rsidR="00664F47" w:rsidRPr="00DE3981" w:rsidRDefault="00664F47" w:rsidP="00DE3981">
            <w:pPr>
              <w:jc w:val="both"/>
              <w:rPr>
                <w:szCs w:val="24"/>
              </w:rPr>
            </w:pPr>
            <w:r w:rsidRPr="00DE3981">
              <w:rPr>
                <w:szCs w:val="24"/>
              </w:rPr>
              <w:t>Community Center Improvements</w:t>
            </w:r>
          </w:p>
        </w:tc>
        <w:tc>
          <w:tcPr>
            <w:tcW w:w="830" w:type="dxa"/>
          </w:tcPr>
          <w:p w:rsidR="00664F47" w:rsidRPr="00DE3981" w:rsidRDefault="00664F47" w:rsidP="00DE3981">
            <w:pPr>
              <w:jc w:val="both"/>
              <w:rPr>
                <w:szCs w:val="24"/>
              </w:rPr>
            </w:pPr>
            <w:r w:rsidRPr="00DE3981">
              <w:rPr>
                <w:szCs w:val="24"/>
              </w:rPr>
              <w:t>317</w:t>
            </w:r>
          </w:p>
        </w:tc>
        <w:tc>
          <w:tcPr>
            <w:tcW w:w="2249" w:type="dxa"/>
          </w:tcPr>
          <w:p w:rsidR="00664F47" w:rsidRPr="00DE3981" w:rsidRDefault="00664F47" w:rsidP="00DE3981">
            <w:pPr>
              <w:jc w:val="both"/>
              <w:rPr>
                <w:szCs w:val="24"/>
              </w:rPr>
            </w:pPr>
            <w:r w:rsidRPr="00DE3981">
              <w:rPr>
                <w:szCs w:val="24"/>
              </w:rPr>
              <w:t>One Cent Sales Tax</w:t>
            </w:r>
          </w:p>
        </w:tc>
        <w:tc>
          <w:tcPr>
            <w:tcW w:w="1536" w:type="dxa"/>
          </w:tcPr>
          <w:p w:rsidR="00664F47" w:rsidRPr="00DE3981" w:rsidRDefault="00664F47" w:rsidP="00DE3981">
            <w:pPr>
              <w:jc w:val="both"/>
              <w:rPr>
                <w:szCs w:val="24"/>
              </w:rPr>
            </w:pPr>
            <w:r w:rsidRPr="00DE3981">
              <w:rPr>
                <w:szCs w:val="24"/>
              </w:rPr>
              <w:t>$     150,000</w:t>
            </w:r>
          </w:p>
        </w:tc>
      </w:tr>
    </w:tbl>
    <w:p w:rsidR="00664F47" w:rsidRDefault="00664F47" w:rsidP="00E96690">
      <w:pPr>
        <w:jc w:val="both"/>
        <w:rPr>
          <w:i/>
          <w:szCs w:val="24"/>
          <w:u w:val="single"/>
        </w:rPr>
      </w:pPr>
    </w:p>
    <w:p w:rsidR="00664F47" w:rsidRDefault="00664F47" w:rsidP="00E96690">
      <w:pPr>
        <w:jc w:val="both"/>
        <w:rPr>
          <w:i/>
          <w:szCs w:val="24"/>
          <w:u w:val="single"/>
        </w:rPr>
      </w:pPr>
    </w:p>
    <w:p w:rsidR="00664F47" w:rsidRDefault="00664F47" w:rsidP="00E96690">
      <w:pPr>
        <w:jc w:val="both"/>
        <w:rPr>
          <w:i/>
          <w:szCs w:val="24"/>
          <w:u w:val="single"/>
        </w:rPr>
      </w:pPr>
    </w:p>
    <w:p w:rsidR="00664F47" w:rsidRPr="00F03222" w:rsidRDefault="00664F47" w:rsidP="00E96690">
      <w:pPr>
        <w:jc w:val="both"/>
        <w:rPr>
          <w:i/>
          <w:szCs w:val="24"/>
          <w:u w:val="single"/>
        </w:rPr>
      </w:pPr>
      <w:r w:rsidRPr="00F03222">
        <w:rPr>
          <w:i/>
          <w:szCs w:val="24"/>
          <w:u w:val="single"/>
        </w:rPr>
        <w:t>Capital Improvement Projects Fund 300</w:t>
      </w:r>
    </w:p>
    <w:p w:rsidR="00664F47" w:rsidRPr="00F03222" w:rsidRDefault="00664F47" w:rsidP="0094045B">
      <w:pPr>
        <w:spacing w:before="120"/>
        <w:jc w:val="both"/>
        <w:rPr>
          <w:szCs w:val="24"/>
        </w:rPr>
      </w:pPr>
      <w:r w:rsidRPr="00F03222">
        <w:rPr>
          <w:szCs w:val="24"/>
        </w:rPr>
        <w:t xml:space="preserve">The Capital Improvement Projects fund includes two grant funded projects for FY2011/12, $392,368 designated to the Community Center and $60,000 for Library Expansion.  Also included this fiscal year will be a $30,000 transfer from the general fund designed to help with maintaining County facilities.  This account may be used for general repairs and emergencies.  </w:t>
      </w:r>
    </w:p>
    <w:p w:rsidR="00664F47" w:rsidRDefault="00664F47" w:rsidP="00372606">
      <w:pPr>
        <w:jc w:val="both"/>
        <w:rPr>
          <w:i/>
          <w:szCs w:val="24"/>
          <w:u w:val="single"/>
        </w:rPr>
      </w:pPr>
    </w:p>
    <w:p w:rsidR="00664F47" w:rsidRPr="00F03222" w:rsidRDefault="00664F47" w:rsidP="00372606">
      <w:pPr>
        <w:jc w:val="both"/>
        <w:rPr>
          <w:i/>
          <w:szCs w:val="24"/>
          <w:u w:val="single"/>
        </w:rPr>
      </w:pPr>
      <w:r w:rsidRPr="00F03222">
        <w:rPr>
          <w:i/>
          <w:szCs w:val="24"/>
          <w:u w:val="single"/>
        </w:rPr>
        <w:t>Fund 307 Impact Fees:</w:t>
      </w:r>
    </w:p>
    <w:p w:rsidR="00664F47" w:rsidRPr="00F03222" w:rsidRDefault="00664F47" w:rsidP="0094045B">
      <w:pPr>
        <w:spacing w:before="120"/>
        <w:jc w:val="both"/>
        <w:rPr>
          <w:szCs w:val="24"/>
        </w:rPr>
      </w:pPr>
      <w:r w:rsidRPr="00F03222">
        <w:rPr>
          <w:szCs w:val="24"/>
        </w:rPr>
        <w:t>Most projects within the impact fee fund have been tabled in order to help maintain a positive cash balance for the entire County budget.  One project is included which will expand the public library in the amount of $71,551.  This project is recommended due to the fact that expenditures in impact fees for libraries help meet the spending requirements regarding our State Library funding grant.  The rest of the projects which were postponed will return during FY2012/13 once economic conditions improved.</w:t>
      </w:r>
    </w:p>
    <w:p w:rsidR="00664F47" w:rsidRPr="00F03222" w:rsidRDefault="00664F47" w:rsidP="00B962DA">
      <w:pPr>
        <w:jc w:val="both"/>
        <w:rPr>
          <w:szCs w:val="24"/>
        </w:rPr>
      </w:pPr>
    </w:p>
    <w:p w:rsidR="00664F47" w:rsidRPr="00F03222" w:rsidRDefault="00664F47" w:rsidP="00B962DA">
      <w:pPr>
        <w:jc w:val="both"/>
        <w:rPr>
          <w:i/>
          <w:szCs w:val="24"/>
          <w:u w:val="single"/>
        </w:rPr>
      </w:pPr>
      <w:r w:rsidRPr="00F03222">
        <w:rPr>
          <w:i/>
          <w:szCs w:val="24"/>
          <w:u w:val="single"/>
        </w:rPr>
        <w:t>One Cent Sales Tax Committee</w:t>
      </w:r>
    </w:p>
    <w:p w:rsidR="00664F47" w:rsidRPr="00F03222" w:rsidRDefault="00664F47" w:rsidP="0094045B">
      <w:pPr>
        <w:spacing w:before="120"/>
        <w:jc w:val="both"/>
        <w:rPr>
          <w:szCs w:val="24"/>
        </w:rPr>
      </w:pPr>
      <w:r w:rsidRPr="00F03222">
        <w:rPr>
          <w:szCs w:val="24"/>
        </w:rPr>
        <w:t xml:space="preserve">The One Cent Sales Tax Committee met once during the tentative budget process.  The committee reviewed the past expenditures and projected revenue and discussed the current financial position of the County.  The committee was briefed by the Deputy Clerk of Court who informed them the County was struggling with cash solvency and that the One Cent Sales Tax was an area that could benefit from a one year hiatus from projects.  The Committee took this information and a review of current obligations existing within the fund such as loan payments and projects, and concluded that a one year moratorium on spending for projects would help build cash balances within the fund.  </w:t>
      </w:r>
    </w:p>
    <w:p w:rsidR="00664F47" w:rsidRDefault="00664F47" w:rsidP="00372606">
      <w:pPr>
        <w:jc w:val="both"/>
        <w:rPr>
          <w:szCs w:val="24"/>
        </w:rPr>
      </w:pPr>
    </w:p>
    <w:p w:rsidR="00664F47" w:rsidRPr="00F03222" w:rsidRDefault="00664F47" w:rsidP="00372606">
      <w:pPr>
        <w:jc w:val="both"/>
        <w:rPr>
          <w:i/>
          <w:szCs w:val="24"/>
          <w:u w:val="single"/>
        </w:rPr>
      </w:pPr>
      <w:r w:rsidRPr="00F03222">
        <w:rPr>
          <w:i/>
          <w:szCs w:val="24"/>
          <w:u w:val="single"/>
        </w:rPr>
        <w:t>One Cent Sales Tax Fund 317</w:t>
      </w:r>
    </w:p>
    <w:p w:rsidR="00664F47" w:rsidRPr="00F03222" w:rsidRDefault="00664F47" w:rsidP="00EA58F5">
      <w:pPr>
        <w:ind w:left="720"/>
        <w:jc w:val="both"/>
        <w:rPr>
          <w:szCs w:val="24"/>
        </w:rPr>
      </w:pPr>
      <w:r w:rsidRPr="00F03222">
        <w:rPr>
          <w:szCs w:val="24"/>
          <w:u w:val="single"/>
        </w:rPr>
        <w:t>Public Safety</w:t>
      </w:r>
      <w:r w:rsidRPr="00F03222">
        <w:rPr>
          <w:szCs w:val="24"/>
        </w:rPr>
        <w:t xml:space="preserve">-The Sheriff’s Department and Emergency Medical Service will not purchase replacement vehicles through the One Cent Sales Tax Fund during FY2011/12.  The committee agreed this area of funding was critical to the lifecycle replacement program of vehicles for the Sheriff’s Department and revenues should be reviewed mid-year to determine if funding could be reinstated for new vehicles for the Sheriff’s Department.  </w:t>
      </w:r>
    </w:p>
    <w:p w:rsidR="00664F47" w:rsidRPr="00F03222" w:rsidRDefault="00664F47" w:rsidP="00372606">
      <w:pPr>
        <w:jc w:val="both"/>
        <w:rPr>
          <w:szCs w:val="24"/>
        </w:rPr>
      </w:pPr>
    </w:p>
    <w:p w:rsidR="00664F47" w:rsidRPr="00F03222" w:rsidRDefault="00664F47" w:rsidP="00EA58F5">
      <w:pPr>
        <w:ind w:left="720"/>
        <w:jc w:val="both"/>
        <w:rPr>
          <w:szCs w:val="24"/>
        </w:rPr>
      </w:pPr>
      <w:r w:rsidRPr="00F03222">
        <w:rPr>
          <w:szCs w:val="24"/>
          <w:u w:val="single"/>
        </w:rPr>
        <w:t>Transportation/Roads-</w:t>
      </w:r>
      <w:r w:rsidRPr="00F03222">
        <w:rPr>
          <w:szCs w:val="24"/>
        </w:rPr>
        <w:t xml:space="preserve"> $340,000 has been budgeted to complete the Old Shell Point Road Paving which is scheduled to be completed during the upcoming fiscal year.  Current obligations include approximately $750,000 in loan payments previous road improvement projects.  </w:t>
      </w:r>
    </w:p>
    <w:p w:rsidR="00664F47" w:rsidRPr="00F03222" w:rsidRDefault="00664F47" w:rsidP="00372606">
      <w:pPr>
        <w:jc w:val="both"/>
        <w:rPr>
          <w:szCs w:val="24"/>
        </w:rPr>
      </w:pPr>
    </w:p>
    <w:p w:rsidR="00664F47" w:rsidRPr="00F03222" w:rsidRDefault="00664F47" w:rsidP="00EA58F5">
      <w:pPr>
        <w:ind w:left="720"/>
        <w:jc w:val="both"/>
        <w:rPr>
          <w:szCs w:val="24"/>
        </w:rPr>
      </w:pPr>
      <w:r w:rsidRPr="00F03222">
        <w:rPr>
          <w:szCs w:val="24"/>
          <w:u w:val="single"/>
        </w:rPr>
        <w:t>Public Facilities</w:t>
      </w:r>
      <w:r w:rsidRPr="00F03222">
        <w:rPr>
          <w:szCs w:val="24"/>
        </w:rPr>
        <w:t xml:space="preserve">- Public Facilities projects including the Community Center will not funded through the One Cent Sales Tax Fund during FY2011/12 in an attempt to build reserves.  The only current obligation includes $285,484 in loan payments for the courthouse. </w:t>
      </w:r>
    </w:p>
    <w:p w:rsidR="00664F47" w:rsidRPr="00F03222" w:rsidRDefault="00664F47" w:rsidP="00EA58F5">
      <w:pPr>
        <w:ind w:left="720"/>
        <w:jc w:val="both"/>
        <w:rPr>
          <w:szCs w:val="24"/>
        </w:rPr>
      </w:pPr>
    </w:p>
    <w:p w:rsidR="00664F47" w:rsidRDefault="00664F47" w:rsidP="00EA58F5">
      <w:pPr>
        <w:ind w:left="720"/>
        <w:jc w:val="both"/>
        <w:rPr>
          <w:szCs w:val="24"/>
          <w:u w:val="single"/>
        </w:rPr>
      </w:pPr>
    </w:p>
    <w:p w:rsidR="00664F47" w:rsidRDefault="00664F47" w:rsidP="00EA58F5">
      <w:pPr>
        <w:ind w:left="720"/>
        <w:jc w:val="both"/>
        <w:rPr>
          <w:szCs w:val="24"/>
        </w:rPr>
      </w:pPr>
      <w:r w:rsidRPr="00F03222">
        <w:rPr>
          <w:szCs w:val="24"/>
          <w:u w:val="single"/>
        </w:rPr>
        <w:t xml:space="preserve">Parks and Recreation </w:t>
      </w:r>
      <w:r w:rsidRPr="00F03222">
        <w:rPr>
          <w:szCs w:val="24"/>
        </w:rPr>
        <w:t>– The only project slated for FY2011/12 within Parks and Recreation area of Fund 317 is an $8,300 grant match to be transferred to Fund 188 Tourist Development Council for a scenic byways project which will total $25,000 in match funds over the next three years.</w:t>
      </w:r>
    </w:p>
    <w:p w:rsidR="00664F47" w:rsidRPr="00F03222" w:rsidRDefault="00664F47" w:rsidP="00EA58F5">
      <w:pPr>
        <w:ind w:left="720"/>
        <w:jc w:val="both"/>
        <w:rPr>
          <w:szCs w:val="24"/>
        </w:rPr>
      </w:pPr>
    </w:p>
    <w:p w:rsidR="00664F47" w:rsidRPr="00F03222" w:rsidRDefault="00664F47" w:rsidP="00E96690">
      <w:pPr>
        <w:jc w:val="both"/>
        <w:rPr>
          <w:i/>
          <w:szCs w:val="24"/>
          <w:u w:val="single"/>
        </w:rPr>
      </w:pPr>
      <w:r w:rsidRPr="00F03222">
        <w:rPr>
          <w:i/>
          <w:szCs w:val="24"/>
          <w:u w:val="single"/>
        </w:rPr>
        <w:t>Fire MSBU</w:t>
      </w:r>
    </w:p>
    <w:p w:rsidR="00664F47" w:rsidRPr="00F03222" w:rsidRDefault="00664F47" w:rsidP="0094045B">
      <w:pPr>
        <w:spacing w:before="120"/>
        <w:jc w:val="both"/>
        <w:rPr>
          <w:szCs w:val="24"/>
        </w:rPr>
      </w:pPr>
      <w:r w:rsidRPr="00F03222">
        <w:rPr>
          <w:szCs w:val="24"/>
        </w:rPr>
        <w:t>This year’s CIP plan also includes $80,000 in the Fire MSBU fund for replacement of vehicles, $200,000 Loan for station 8 refurbishing and 47,000 in loan payments</w:t>
      </w:r>
      <w:r>
        <w:rPr>
          <w:szCs w:val="24"/>
        </w:rPr>
        <w:t xml:space="preserve">.  </w:t>
      </w:r>
    </w:p>
    <w:p w:rsidR="00664F47" w:rsidRPr="00F03222" w:rsidRDefault="00664F47" w:rsidP="00E96690">
      <w:pPr>
        <w:jc w:val="both"/>
        <w:rPr>
          <w:i/>
          <w:szCs w:val="24"/>
          <w:u w:val="single"/>
        </w:rPr>
      </w:pPr>
    </w:p>
    <w:p w:rsidR="00664F47" w:rsidRPr="00F03222" w:rsidRDefault="00664F47" w:rsidP="00E96690">
      <w:pPr>
        <w:jc w:val="both"/>
        <w:rPr>
          <w:i/>
          <w:szCs w:val="24"/>
          <w:u w:val="single"/>
        </w:rPr>
      </w:pPr>
      <w:r w:rsidRPr="00F03222">
        <w:rPr>
          <w:i/>
          <w:szCs w:val="24"/>
          <w:u w:val="single"/>
        </w:rPr>
        <w:t>Road Paving Fund 362</w:t>
      </w:r>
    </w:p>
    <w:p w:rsidR="00664F47" w:rsidRPr="00F03222" w:rsidRDefault="00664F47" w:rsidP="0094045B">
      <w:pPr>
        <w:spacing w:before="120"/>
        <w:jc w:val="both"/>
        <w:rPr>
          <w:szCs w:val="24"/>
        </w:rPr>
      </w:pPr>
      <w:r w:rsidRPr="00F03222">
        <w:rPr>
          <w:szCs w:val="24"/>
        </w:rPr>
        <w:t>The County is seeking funding for several projects including County Road 365 Widening and Resurfacing, Emmett Whaley Widening and Resurfacing and Rehwinkle Road Widening and Resurfacing as well as Safe Routes to Schools Sidewalk.  All projects combined total $3,984,019.  These projects are subject to grant funding</w:t>
      </w:r>
      <w:r>
        <w:rPr>
          <w:szCs w:val="24"/>
        </w:rPr>
        <w:t xml:space="preserve"> from the SCOP and SCRAP programs</w:t>
      </w:r>
      <w:r w:rsidRPr="00F03222">
        <w:rPr>
          <w:szCs w:val="24"/>
        </w:rPr>
        <w:t>.</w:t>
      </w:r>
    </w:p>
    <w:p w:rsidR="00664F47" w:rsidRPr="00F03222" w:rsidRDefault="00664F47" w:rsidP="00E96690">
      <w:pPr>
        <w:jc w:val="both"/>
        <w:rPr>
          <w:szCs w:val="24"/>
        </w:rPr>
      </w:pPr>
    </w:p>
    <w:p w:rsidR="00664F47" w:rsidRPr="00F03222" w:rsidRDefault="00664F47" w:rsidP="00E96690">
      <w:pPr>
        <w:jc w:val="both"/>
        <w:rPr>
          <w:i/>
          <w:szCs w:val="24"/>
          <w:u w:val="single"/>
        </w:rPr>
      </w:pPr>
      <w:r w:rsidRPr="00F03222">
        <w:rPr>
          <w:i/>
          <w:szCs w:val="24"/>
          <w:u w:val="single"/>
        </w:rPr>
        <w:t>Wastewater Fund 435</w:t>
      </w:r>
    </w:p>
    <w:p w:rsidR="00664F47" w:rsidRPr="00F03222" w:rsidRDefault="00664F47" w:rsidP="0094045B">
      <w:pPr>
        <w:spacing w:before="120"/>
        <w:jc w:val="both"/>
        <w:rPr>
          <w:szCs w:val="24"/>
        </w:rPr>
      </w:pPr>
      <w:r w:rsidRPr="00F03222">
        <w:rPr>
          <w:szCs w:val="24"/>
        </w:rPr>
        <w:t xml:space="preserve">SRF Loan in Wastewater for transmission line of $1,062,001 within Public Works.  This project will be funded through a loan agreement between the County and the Florida Department of Environmental Protection through the utilization of the State Revolving Fund program executed October 20, 2009.  </w:t>
      </w:r>
    </w:p>
    <w:p w:rsidR="00664F47" w:rsidRPr="00F03222" w:rsidRDefault="00664F47" w:rsidP="00D60AA8">
      <w:pPr>
        <w:jc w:val="both"/>
        <w:rPr>
          <w:szCs w:val="24"/>
        </w:rPr>
      </w:pPr>
    </w:p>
    <w:p w:rsidR="00664F47" w:rsidRPr="00F03222" w:rsidRDefault="00664F47" w:rsidP="00E96690">
      <w:pPr>
        <w:jc w:val="both"/>
        <w:rPr>
          <w:i/>
          <w:szCs w:val="24"/>
          <w:u w:val="single"/>
        </w:rPr>
      </w:pPr>
      <w:r w:rsidRPr="00F03222">
        <w:rPr>
          <w:i/>
          <w:szCs w:val="24"/>
          <w:u w:val="single"/>
        </w:rPr>
        <w:t>Solid Waste Fund 440</w:t>
      </w:r>
    </w:p>
    <w:p w:rsidR="00664F47" w:rsidRPr="00F03222" w:rsidRDefault="00664F47" w:rsidP="0094045B">
      <w:pPr>
        <w:spacing w:before="120"/>
        <w:jc w:val="both"/>
        <w:rPr>
          <w:szCs w:val="24"/>
        </w:rPr>
      </w:pPr>
      <w:r w:rsidRPr="00F03222">
        <w:rPr>
          <w:szCs w:val="24"/>
        </w:rPr>
        <w:t xml:space="preserve">In light of recent developments concerning the </w:t>
      </w:r>
      <w:r>
        <w:rPr>
          <w:szCs w:val="24"/>
        </w:rPr>
        <w:t xml:space="preserve">proposed </w:t>
      </w:r>
      <w:r w:rsidRPr="00F03222">
        <w:rPr>
          <w:szCs w:val="24"/>
        </w:rPr>
        <w:t>$196 solid waste assessment recently approved by the Board, the solid was fund will need to be re</w:t>
      </w:r>
      <w:r>
        <w:rPr>
          <w:szCs w:val="24"/>
        </w:rPr>
        <w:t>-</w:t>
      </w:r>
      <w:r w:rsidRPr="00F03222">
        <w:rPr>
          <w:szCs w:val="24"/>
        </w:rPr>
        <w:t xml:space="preserve">addressed and a new budget formulated to accommodate the adjustments the new assessment will bring.  </w:t>
      </w:r>
      <w:r>
        <w:rPr>
          <w:szCs w:val="24"/>
        </w:rPr>
        <w:t xml:space="preserve">Staff is currently in negotiations with the vendor on this contract.  Once the contract costs are finalized, staff will be able to prepare a budget based on the projected revenue of the assessment as well the anticipated expenditures. </w:t>
      </w:r>
    </w:p>
    <w:p w:rsidR="00664F47" w:rsidRPr="00F03222" w:rsidRDefault="00664F47" w:rsidP="00DF3398">
      <w:pPr>
        <w:jc w:val="both"/>
        <w:rPr>
          <w:szCs w:val="24"/>
        </w:rPr>
      </w:pPr>
    </w:p>
    <w:p w:rsidR="00664F47" w:rsidRPr="00F03222" w:rsidRDefault="00664F47" w:rsidP="00E72CF8">
      <w:pPr>
        <w:jc w:val="both"/>
        <w:rPr>
          <w:i/>
          <w:szCs w:val="24"/>
          <w:u w:val="single"/>
        </w:rPr>
      </w:pPr>
      <w:r w:rsidRPr="00F03222">
        <w:rPr>
          <w:i/>
          <w:szCs w:val="24"/>
          <w:u w:val="single"/>
        </w:rPr>
        <w:t>Capital Improvements Summary</w:t>
      </w:r>
    </w:p>
    <w:p w:rsidR="00664F47" w:rsidRPr="00F03222" w:rsidRDefault="00664F47" w:rsidP="0094045B">
      <w:pPr>
        <w:spacing w:before="120"/>
        <w:jc w:val="both"/>
        <w:rPr>
          <w:szCs w:val="24"/>
        </w:rPr>
      </w:pPr>
      <w:r w:rsidRPr="00F03222">
        <w:rPr>
          <w:szCs w:val="24"/>
        </w:rPr>
        <w:t xml:space="preserve">While the County is continuing to push forward for much needed Capital Projects, this fiscal year will provide somewhat of a decrease from previous year spending with regards to our Capital Improvement Program.   All projects included in the FY2011/12 plan are grant funded except for the following; Fund 180 vehicle replacement and loan for VFD Station 8 Rebuild; Fund 300 Repair and Maintenance; Library Expansion within Fund 307 Impact Fees.  Attached is a revised CIP Summary </w:t>
      </w:r>
      <w:r>
        <w:rPr>
          <w:szCs w:val="24"/>
        </w:rPr>
        <w:t>for Board review. (Attachment #5</w:t>
      </w:r>
      <w:r w:rsidRPr="00F03222">
        <w:rPr>
          <w:szCs w:val="24"/>
        </w:rPr>
        <w:t>)</w:t>
      </w:r>
    </w:p>
    <w:p w:rsidR="00664F47" w:rsidRPr="00F03222" w:rsidRDefault="00664F47" w:rsidP="004D4B59">
      <w:pPr>
        <w:jc w:val="both"/>
        <w:rPr>
          <w:b/>
          <w:szCs w:val="24"/>
          <w:u w:val="single"/>
        </w:rPr>
      </w:pPr>
    </w:p>
    <w:p w:rsidR="00664F47" w:rsidRPr="00F03222" w:rsidRDefault="00664F47" w:rsidP="004D4B59">
      <w:pPr>
        <w:jc w:val="both"/>
        <w:rPr>
          <w:b/>
          <w:szCs w:val="24"/>
          <w:u w:val="single"/>
        </w:rPr>
      </w:pPr>
      <w:r w:rsidRPr="00F03222">
        <w:rPr>
          <w:b/>
          <w:szCs w:val="24"/>
          <w:u w:val="single"/>
        </w:rPr>
        <w:t>Summary</w:t>
      </w:r>
    </w:p>
    <w:p w:rsidR="00664F47" w:rsidRDefault="00664F47" w:rsidP="0094045B">
      <w:pPr>
        <w:spacing w:before="120"/>
        <w:jc w:val="both"/>
        <w:rPr>
          <w:szCs w:val="24"/>
        </w:rPr>
      </w:pPr>
      <w:r w:rsidRPr="00F03222">
        <w:rPr>
          <w:szCs w:val="24"/>
        </w:rPr>
        <w:t xml:space="preserve">In summary, this workshop is provided for the Board to hear presentations by staff, receive input for the citizens and to provide Staff/Constitutional Officers any other direction prior to the formal budget hearings that are scheduled for September 6, 2011 and September 19, 2011.  This workshop provides the Board an opportunity to review recommended changes to the FY2011/2012 tentative budget prior to those public hearings.  The public hearings will be advertised per TRIM requirements and will provide additional forums for public input to the Board regarding the budget.  At the first public hearing, the Board will adopt the tentative millage rate and tentative budget.  At the final budget hearing the Board will once again have an opportunity will be hear public input regarding the budget and then adopt a final millage rate and final budget for FY2011/2012.  </w:t>
      </w:r>
    </w:p>
    <w:p w:rsidR="00664F47" w:rsidRPr="00F03222" w:rsidRDefault="00664F47" w:rsidP="002A291D">
      <w:pPr>
        <w:jc w:val="both"/>
        <w:rPr>
          <w:szCs w:val="24"/>
        </w:rPr>
      </w:pPr>
    </w:p>
    <w:p w:rsidR="00664F47" w:rsidRPr="00F03222" w:rsidRDefault="00664F47" w:rsidP="002A291D">
      <w:pPr>
        <w:jc w:val="both"/>
        <w:rPr>
          <w:szCs w:val="24"/>
        </w:rPr>
      </w:pPr>
      <w:r w:rsidRPr="00F03222">
        <w:rPr>
          <w:szCs w:val="24"/>
        </w:rPr>
        <w:t>The only direction staff is seeking</w:t>
      </w:r>
      <w:r>
        <w:rPr>
          <w:szCs w:val="24"/>
        </w:rPr>
        <w:t xml:space="preserve"> from this workshop is</w:t>
      </w:r>
      <w:r w:rsidRPr="00F03222">
        <w:rPr>
          <w:szCs w:val="24"/>
        </w:rPr>
        <w:t xml:space="preserve"> which health insurance option to pursue for FY2011/12</w:t>
      </w:r>
      <w:r>
        <w:rPr>
          <w:szCs w:val="24"/>
        </w:rPr>
        <w:t>.</w:t>
      </w:r>
    </w:p>
    <w:p w:rsidR="00664F47" w:rsidRPr="00F03222" w:rsidRDefault="00664F47" w:rsidP="002A291D">
      <w:pPr>
        <w:jc w:val="both"/>
        <w:rPr>
          <w:szCs w:val="24"/>
        </w:rPr>
      </w:pPr>
    </w:p>
    <w:p w:rsidR="00664F47" w:rsidRPr="00F03222" w:rsidRDefault="00664F47" w:rsidP="002A291D">
      <w:pPr>
        <w:jc w:val="both"/>
        <w:rPr>
          <w:szCs w:val="24"/>
        </w:rPr>
      </w:pPr>
      <w:r w:rsidRPr="00F03222">
        <w:rPr>
          <w:szCs w:val="24"/>
        </w:rPr>
        <w:t>Option 1 – 1% increase to current health care costs</w:t>
      </w:r>
    </w:p>
    <w:p w:rsidR="00664F47" w:rsidRDefault="00664F47" w:rsidP="002A291D">
      <w:pPr>
        <w:jc w:val="both"/>
        <w:rPr>
          <w:szCs w:val="24"/>
        </w:rPr>
      </w:pPr>
      <w:r w:rsidRPr="00F03222">
        <w:rPr>
          <w:szCs w:val="24"/>
        </w:rPr>
        <w:t>Option 2 – 4 % increase to current health care costs</w:t>
      </w:r>
    </w:p>
    <w:p w:rsidR="00664F47" w:rsidRPr="00F03222" w:rsidRDefault="00664F47" w:rsidP="002A291D">
      <w:pPr>
        <w:jc w:val="both"/>
        <w:rPr>
          <w:szCs w:val="24"/>
        </w:rPr>
      </w:pPr>
      <w:r>
        <w:rPr>
          <w:szCs w:val="24"/>
        </w:rPr>
        <w:t>Option 3</w:t>
      </w:r>
      <w:r w:rsidRPr="00F03222">
        <w:rPr>
          <w:szCs w:val="24"/>
        </w:rPr>
        <w:t>–</w:t>
      </w:r>
      <w:r>
        <w:rPr>
          <w:szCs w:val="24"/>
        </w:rPr>
        <w:t xml:space="preserve"> Switch insurance to United Health Care.</w:t>
      </w:r>
    </w:p>
    <w:p w:rsidR="00664F47" w:rsidRPr="00F03222" w:rsidRDefault="00664F47">
      <w:pPr>
        <w:jc w:val="both"/>
        <w:rPr>
          <w:b/>
          <w:szCs w:val="24"/>
          <w:u w:val="single"/>
        </w:rPr>
      </w:pPr>
    </w:p>
    <w:p w:rsidR="00664F47" w:rsidRPr="00F03222" w:rsidRDefault="00664F47">
      <w:pPr>
        <w:jc w:val="both"/>
        <w:rPr>
          <w:b/>
          <w:szCs w:val="24"/>
          <w:u w:val="single"/>
        </w:rPr>
      </w:pPr>
      <w:r w:rsidRPr="00F03222">
        <w:rPr>
          <w:b/>
          <w:szCs w:val="24"/>
          <w:u w:val="single"/>
        </w:rPr>
        <w:t>Attachments:</w:t>
      </w:r>
    </w:p>
    <w:p w:rsidR="00664F47" w:rsidRDefault="00664F47" w:rsidP="00185878">
      <w:pPr>
        <w:numPr>
          <w:ilvl w:val="0"/>
          <w:numId w:val="12"/>
        </w:numPr>
        <w:jc w:val="both"/>
        <w:rPr>
          <w:szCs w:val="24"/>
        </w:rPr>
      </w:pPr>
      <w:r w:rsidRPr="00F03222">
        <w:rPr>
          <w:szCs w:val="24"/>
        </w:rPr>
        <w:t>June 23, 2011 Workshop Item</w:t>
      </w:r>
    </w:p>
    <w:p w:rsidR="00664F47" w:rsidRPr="00F03222" w:rsidRDefault="00664F47" w:rsidP="00185878">
      <w:pPr>
        <w:numPr>
          <w:ilvl w:val="0"/>
          <w:numId w:val="12"/>
        </w:numPr>
        <w:jc w:val="both"/>
        <w:rPr>
          <w:szCs w:val="24"/>
        </w:rPr>
      </w:pPr>
      <w:r>
        <w:rPr>
          <w:szCs w:val="24"/>
        </w:rPr>
        <w:t>Budget Comparison FY06/07 vs. FY11/12</w:t>
      </w:r>
    </w:p>
    <w:p w:rsidR="00664F47" w:rsidRDefault="00664F47" w:rsidP="00185878">
      <w:pPr>
        <w:numPr>
          <w:ilvl w:val="0"/>
          <w:numId w:val="12"/>
        </w:numPr>
        <w:jc w:val="both"/>
        <w:rPr>
          <w:szCs w:val="24"/>
        </w:rPr>
      </w:pPr>
      <w:r w:rsidRPr="00F03222">
        <w:rPr>
          <w:szCs w:val="24"/>
        </w:rPr>
        <w:t>CHP Schedule of Copayments</w:t>
      </w:r>
    </w:p>
    <w:p w:rsidR="00664F47" w:rsidRPr="00F03222" w:rsidRDefault="00664F47" w:rsidP="00185878">
      <w:pPr>
        <w:numPr>
          <w:ilvl w:val="0"/>
          <w:numId w:val="12"/>
        </w:numPr>
        <w:jc w:val="both"/>
        <w:rPr>
          <w:szCs w:val="24"/>
        </w:rPr>
      </w:pPr>
      <w:r>
        <w:rPr>
          <w:szCs w:val="24"/>
        </w:rPr>
        <w:t>Pros and Cons of CHP v. UHC</w:t>
      </w:r>
    </w:p>
    <w:p w:rsidR="00664F47" w:rsidRPr="00F03222" w:rsidRDefault="00664F47" w:rsidP="00463AE6">
      <w:pPr>
        <w:numPr>
          <w:ilvl w:val="0"/>
          <w:numId w:val="12"/>
        </w:numPr>
        <w:jc w:val="both"/>
        <w:rPr>
          <w:szCs w:val="24"/>
        </w:rPr>
      </w:pPr>
      <w:r w:rsidRPr="00F03222">
        <w:rPr>
          <w:szCs w:val="24"/>
        </w:rPr>
        <w:t xml:space="preserve">Revised Capital Improvement Project </w:t>
      </w:r>
    </w:p>
    <w:sectPr w:rsidR="00664F47" w:rsidRPr="00F03222" w:rsidSect="00411B85">
      <w:endnotePr>
        <w:numFmt w:val="decimal"/>
      </w:endnotePr>
      <w:type w:val="continuous"/>
      <w:pgSz w:w="12240" w:h="15840"/>
      <w:pgMar w:top="1440" w:right="1440" w:bottom="1440" w:left="1440" w:header="806" w:footer="806" w:gutter="0"/>
      <w:cols w:space="720"/>
      <w:formProt w:val="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F47" w:rsidRDefault="00664F47">
      <w:r>
        <w:separator/>
      </w:r>
    </w:p>
  </w:endnote>
  <w:endnote w:type="continuationSeparator" w:id="0">
    <w:p w:rsidR="00664F47" w:rsidRDefault="00664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F47" w:rsidRDefault="00664F47">
      <w:r>
        <w:separator/>
      </w:r>
    </w:p>
  </w:footnote>
  <w:footnote w:type="continuationSeparator" w:id="0">
    <w:p w:rsidR="00664F47" w:rsidRDefault="00664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47" w:rsidRDefault="00664F47" w:rsidP="00B83DF6">
    <w:pPr>
      <w:widowControl/>
    </w:pPr>
    <w:r>
      <w:t>4</w:t>
    </w:r>
    <w:r w:rsidRPr="00DB3548">
      <w:rPr>
        <w:vertAlign w:val="superscript"/>
      </w:rPr>
      <w:t>th</w:t>
    </w:r>
    <w:r>
      <w:t xml:space="preserve"> Budget Workshop Regarding the FY2011/2012 Budget </w:t>
    </w:r>
  </w:p>
  <w:p w:rsidR="00664F47" w:rsidRPr="00B83DF6" w:rsidRDefault="00664F47" w:rsidP="00B83DF6">
    <w:pPr>
      <w:widowControl/>
      <w:rPr>
        <w:szCs w:val="24"/>
      </w:rPr>
    </w:pPr>
    <w:r>
      <w:t>August 4, 2011</w:t>
    </w:r>
  </w:p>
  <w:p w:rsidR="00664F47" w:rsidRDefault="00664F47">
    <w:pPr>
      <w:pStyle w:val="Header"/>
      <w:pBdr>
        <w:bottom w:val="single" w:sz="6" w:space="1" w:color="auto"/>
      </w:pBd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664F47" w:rsidRDefault="00664F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592628A"/>
    <w:multiLevelType w:val="hybridMultilevel"/>
    <w:tmpl w:val="45F2B2B6"/>
    <w:lvl w:ilvl="0" w:tplc="B896054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036949"/>
    <w:multiLevelType w:val="hybridMultilevel"/>
    <w:tmpl w:val="AFD27898"/>
    <w:lvl w:ilvl="0" w:tplc="B98CC5E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EA671F"/>
    <w:multiLevelType w:val="hybridMultilevel"/>
    <w:tmpl w:val="F55C5AAE"/>
    <w:lvl w:ilvl="0" w:tplc="DCA2E2D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C887F30"/>
    <w:multiLevelType w:val="hybridMultilevel"/>
    <w:tmpl w:val="49BC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362FE"/>
    <w:multiLevelType w:val="multilevel"/>
    <w:tmpl w:val="AF921DB6"/>
    <w:styleLink w:val="Style1"/>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DBE60D4"/>
    <w:multiLevelType w:val="hybridMultilevel"/>
    <w:tmpl w:val="F540410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0705E23"/>
    <w:multiLevelType w:val="hybridMultilevel"/>
    <w:tmpl w:val="270C5B6A"/>
    <w:lvl w:ilvl="0" w:tplc="8CAC06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10D5F89"/>
    <w:multiLevelType w:val="hybridMultilevel"/>
    <w:tmpl w:val="C762B5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683824"/>
    <w:multiLevelType w:val="hybridMultilevel"/>
    <w:tmpl w:val="AF921DB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14E70D1B"/>
    <w:multiLevelType w:val="hybridMultilevel"/>
    <w:tmpl w:val="7A1AA56C"/>
    <w:lvl w:ilvl="0" w:tplc="29A609E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5674D41"/>
    <w:multiLevelType w:val="hybridMultilevel"/>
    <w:tmpl w:val="E8280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A16558"/>
    <w:multiLevelType w:val="hybridMultilevel"/>
    <w:tmpl w:val="4BC89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CEC4182"/>
    <w:multiLevelType w:val="hybridMultilevel"/>
    <w:tmpl w:val="BAE0D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6725AC"/>
    <w:multiLevelType w:val="hybridMultilevel"/>
    <w:tmpl w:val="BFC81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A11C1C"/>
    <w:multiLevelType w:val="hybridMultilevel"/>
    <w:tmpl w:val="42646E14"/>
    <w:lvl w:ilvl="0" w:tplc="6F8EFED2">
      <w:start w:val="1"/>
      <w:numFmt w:val="decimal"/>
      <w:lvlText w:val="%1."/>
      <w:lvlJc w:val="left"/>
      <w:pPr>
        <w:tabs>
          <w:tab w:val="num" w:pos="1170"/>
        </w:tabs>
        <w:ind w:left="117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6BC433A"/>
    <w:multiLevelType w:val="hybridMultilevel"/>
    <w:tmpl w:val="03FAFC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9D637ED"/>
    <w:multiLevelType w:val="hybridMultilevel"/>
    <w:tmpl w:val="7DFE12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1E0487"/>
    <w:multiLevelType w:val="multilevel"/>
    <w:tmpl w:val="AF921DB6"/>
    <w:numStyleLink w:val="Style1"/>
  </w:abstractNum>
  <w:abstractNum w:abstractNumId="20">
    <w:nsid w:val="2D8F7F76"/>
    <w:multiLevelType w:val="hybridMultilevel"/>
    <w:tmpl w:val="49E8D6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2DE15E10"/>
    <w:multiLevelType w:val="hybridMultilevel"/>
    <w:tmpl w:val="AA16ABB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23428A7"/>
    <w:multiLevelType w:val="hybridMultilevel"/>
    <w:tmpl w:val="FF80894C"/>
    <w:lvl w:ilvl="0" w:tplc="5366CF1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6E22D91"/>
    <w:multiLevelType w:val="hybridMultilevel"/>
    <w:tmpl w:val="99CA6E06"/>
    <w:lvl w:ilvl="0" w:tplc="0409000F">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38A83FB6"/>
    <w:multiLevelType w:val="hybridMultilevel"/>
    <w:tmpl w:val="46AA3D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C14117D"/>
    <w:multiLevelType w:val="hybridMultilevel"/>
    <w:tmpl w:val="139E0D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DCE381B"/>
    <w:multiLevelType w:val="hybridMultilevel"/>
    <w:tmpl w:val="563A73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E0746EF"/>
    <w:multiLevelType w:val="hybridMultilevel"/>
    <w:tmpl w:val="AE2E8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A61432"/>
    <w:multiLevelType w:val="hybridMultilevel"/>
    <w:tmpl w:val="19F678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8565497"/>
    <w:multiLevelType w:val="hybridMultilevel"/>
    <w:tmpl w:val="FD02CF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8645624"/>
    <w:multiLevelType w:val="hybridMultilevel"/>
    <w:tmpl w:val="EBC2FC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A432663"/>
    <w:multiLevelType w:val="hybridMultilevel"/>
    <w:tmpl w:val="B81ED65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AF603CD"/>
    <w:multiLevelType w:val="hybridMultilevel"/>
    <w:tmpl w:val="FB825B22"/>
    <w:lvl w:ilvl="0" w:tplc="0EA2CEA2">
      <w:start w:val="1"/>
      <w:numFmt w:val="lowerLetter"/>
      <w:lvlText w:val="%1."/>
      <w:lvlJc w:val="left"/>
      <w:pPr>
        <w:tabs>
          <w:tab w:val="num" w:pos="1440"/>
        </w:tabs>
        <w:ind w:left="1440" w:hanging="360"/>
      </w:pPr>
      <w:rPr>
        <w:rFonts w:ascii="Times New Roman" w:eastAsia="Times New Roman" w:hAnsi="Times New Roman" w:cs="Times New Roman"/>
      </w:rPr>
    </w:lvl>
    <w:lvl w:ilvl="1" w:tplc="A0E04EE6">
      <w:start w:val="1"/>
      <w:numFmt w:val="decimal"/>
      <w:lvlText w:val="%2)"/>
      <w:lvlJc w:val="left"/>
      <w:pPr>
        <w:tabs>
          <w:tab w:val="num" w:pos="2250"/>
        </w:tabs>
        <w:ind w:left="2250" w:hanging="360"/>
      </w:pPr>
      <w:rPr>
        <w:rFonts w:cs="Times New Roman" w:hint="default"/>
        <w:i/>
      </w:rPr>
    </w:lvl>
    <w:lvl w:ilvl="2" w:tplc="ACE448C4">
      <w:start w:val="1"/>
      <w:numFmt w:val="decimal"/>
      <w:lvlText w:val="%3."/>
      <w:lvlJc w:val="left"/>
      <w:pPr>
        <w:tabs>
          <w:tab w:val="num" w:pos="2880"/>
        </w:tabs>
        <w:ind w:left="2880" w:hanging="360"/>
      </w:pPr>
      <w:rPr>
        <w:rFonts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C494072"/>
    <w:multiLevelType w:val="hybridMultilevel"/>
    <w:tmpl w:val="FF6C90E0"/>
    <w:lvl w:ilvl="0" w:tplc="1012CA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71F16FF"/>
    <w:multiLevelType w:val="hybridMultilevel"/>
    <w:tmpl w:val="1D4C5A92"/>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E0064AF"/>
    <w:multiLevelType w:val="hybridMultilevel"/>
    <w:tmpl w:val="D29ADAE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2254A"/>
    <w:multiLevelType w:val="hybridMultilevel"/>
    <w:tmpl w:val="699E3A4E"/>
    <w:lvl w:ilvl="0" w:tplc="ABC6427E">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28C6346"/>
    <w:multiLevelType w:val="hybridMultilevel"/>
    <w:tmpl w:val="F7DEB9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F723968"/>
    <w:multiLevelType w:val="hybridMultilevel"/>
    <w:tmpl w:val="F7D67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B8477C"/>
    <w:multiLevelType w:val="hybridMultilevel"/>
    <w:tmpl w:val="EFBC871E"/>
    <w:lvl w:ilvl="0" w:tplc="97680C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0430D2D"/>
    <w:multiLevelType w:val="hybridMultilevel"/>
    <w:tmpl w:val="5712A5AE"/>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10C1A6F"/>
    <w:multiLevelType w:val="hybridMultilevel"/>
    <w:tmpl w:val="7D42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6378A"/>
    <w:multiLevelType w:val="hybridMultilevel"/>
    <w:tmpl w:val="BFEC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D90516"/>
    <w:multiLevelType w:val="hybridMultilevel"/>
    <w:tmpl w:val="2EB0A660"/>
    <w:lvl w:ilvl="0" w:tplc="FCD65C4E">
      <w:start w:val="1"/>
      <w:numFmt w:val="upperRoman"/>
      <w:lvlText w:val="%1."/>
      <w:lvlJc w:val="left"/>
      <w:pPr>
        <w:tabs>
          <w:tab w:val="num" w:pos="1080"/>
        </w:tabs>
        <w:ind w:left="1080" w:hanging="720"/>
      </w:pPr>
      <w:rPr>
        <w:rFonts w:cs="Times New Roman" w:hint="default"/>
      </w:rPr>
    </w:lvl>
    <w:lvl w:ilvl="1" w:tplc="2FBA6C86">
      <w:start w:val="1"/>
      <w:numFmt w:val="decimal"/>
      <w:lvlText w:val="%2."/>
      <w:lvlJc w:val="left"/>
      <w:pPr>
        <w:tabs>
          <w:tab w:val="num" w:pos="1440"/>
        </w:tabs>
        <w:ind w:left="1440" w:hanging="360"/>
      </w:pPr>
      <w:rPr>
        <w:rFonts w:cs="Times New Roman" w:hint="default"/>
      </w:rPr>
    </w:lvl>
    <w:lvl w:ilvl="2" w:tplc="A2DC425E">
      <w:start w:val="1"/>
      <w:numFmt w:val="lowerLetter"/>
      <w:lvlText w:val="%3."/>
      <w:lvlJc w:val="left"/>
      <w:pPr>
        <w:tabs>
          <w:tab w:val="num" w:pos="2700"/>
        </w:tabs>
        <w:ind w:left="2700" w:hanging="720"/>
      </w:pPr>
      <w:rPr>
        <w:rFonts w:cs="Times New Roman" w:hint="default"/>
      </w:rPr>
    </w:lvl>
    <w:lvl w:ilvl="3" w:tplc="589A683E">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62369E2"/>
    <w:multiLevelType w:val="hybridMultilevel"/>
    <w:tmpl w:val="8578B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ED5BCC"/>
    <w:multiLevelType w:val="hybridMultilevel"/>
    <w:tmpl w:val="ABAEE5FC"/>
    <w:lvl w:ilvl="0" w:tplc="1806FC80">
      <w:start w:val="2"/>
      <w:numFmt w:val="decimal"/>
      <w:lvlText w:val="%1)"/>
      <w:lvlJc w:val="left"/>
      <w:pPr>
        <w:tabs>
          <w:tab w:val="num" w:pos="720"/>
        </w:tabs>
        <w:ind w:left="720" w:hanging="360"/>
      </w:pPr>
      <w:rPr>
        <w:rFonts w:cs="Times New Roman" w:hint="default"/>
        <w:b w:val="0"/>
        <w:i w:val="0"/>
        <w:sz w:val="24"/>
        <w:u w:val="none"/>
      </w:rPr>
    </w:lvl>
    <w:lvl w:ilvl="1" w:tplc="1CDEC402">
      <w:start w:val="1"/>
      <w:numFmt w:val="decimal"/>
      <w:lvlText w:val="%2)"/>
      <w:lvlJc w:val="left"/>
      <w:pPr>
        <w:tabs>
          <w:tab w:val="num" w:pos="2340"/>
        </w:tabs>
        <w:ind w:left="2340" w:hanging="72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0F">
      <w:start w:val="1"/>
      <w:numFmt w:val="decimal"/>
      <w:lvlText w:val="%6."/>
      <w:lvlJc w:val="left"/>
      <w:pPr>
        <w:tabs>
          <w:tab w:val="num" w:pos="4500"/>
        </w:tabs>
        <w:ind w:left="4500" w:hanging="360"/>
      </w:pPr>
      <w:rPr>
        <w:rFonts w:cs="Times New Roman" w:hint="default"/>
        <w:b w:val="0"/>
        <w:i w:val="0"/>
        <w:sz w:val="24"/>
        <w:u w:val="none"/>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B891C5D"/>
    <w:multiLevelType w:val="hybridMultilevel"/>
    <w:tmpl w:val="BE94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B0589"/>
    <w:multiLevelType w:val="hybridMultilevel"/>
    <w:tmpl w:val="F7DEB9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7"/>
  </w:num>
  <w:num w:numId="4">
    <w:abstractNumId w:val="16"/>
  </w:num>
  <w:num w:numId="5">
    <w:abstractNumId w:val="22"/>
  </w:num>
  <w:num w:numId="6">
    <w:abstractNumId w:val="32"/>
  </w:num>
  <w:num w:numId="7">
    <w:abstractNumId w:val="11"/>
  </w:num>
  <w:num w:numId="8">
    <w:abstractNumId w:val="36"/>
  </w:num>
  <w:num w:numId="9">
    <w:abstractNumId w:val="34"/>
  </w:num>
  <w:num w:numId="10">
    <w:abstractNumId w:val="45"/>
  </w:num>
  <w:num w:numId="11">
    <w:abstractNumId w:val="20"/>
  </w:num>
  <w:num w:numId="12">
    <w:abstractNumId w:val="40"/>
  </w:num>
  <w:num w:numId="13">
    <w:abstractNumId w:val="29"/>
  </w:num>
  <w:num w:numId="14">
    <w:abstractNumId w:val="42"/>
  </w:num>
  <w:num w:numId="15">
    <w:abstractNumId w:val="12"/>
  </w:num>
  <w:num w:numId="16">
    <w:abstractNumId w:val="15"/>
  </w:num>
  <w:num w:numId="17">
    <w:abstractNumId w:val="39"/>
  </w:num>
  <w:num w:numId="18">
    <w:abstractNumId w:val="38"/>
  </w:num>
  <w:num w:numId="19">
    <w:abstractNumId w:val="44"/>
  </w:num>
  <w:num w:numId="20">
    <w:abstractNumId w:val="25"/>
  </w:num>
  <w:num w:numId="21">
    <w:abstractNumId w:val="13"/>
  </w:num>
  <w:num w:numId="22">
    <w:abstractNumId w:val="4"/>
  </w:num>
  <w:num w:numId="23">
    <w:abstractNumId w:val="43"/>
  </w:num>
  <w:num w:numId="24">
    <w:abstractNumId w:val="14"/>
  </w:num>
  <w:num w:numId="25">
    <w:abstractNumId w:val="5"/>
  </w:num>
  <w:num w:numId="26">
    <w:abstractNumId w:val="35"/>
  </w:num>
  <w:num w:numId="27">
    <w:abstractNumId w:val="46"/>
  </w:num>
  <w:num w:numId="28">
    <w:abstractNumId w:val="41"/>
  </w:num>
  <w:num w:numId="29">
    <w:abstractNumId w:val="33"/>
  </w:num>
  <w:num w:numId="30">
    <w:abstractNumId w:val="23"/>
  </w:num>
  <w:num w:numId="31">
    <w:abstractNumId w:val="47"/>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9"/>
  </w:num>
  <w:num w:numId="36">
    <w:abstractNumId w:val="17"/>
  </w:num>
  <w:num w:numId="37">
    <w:abstractNumId w:val="31"/>
  </w:num>
  <w:num w:numId="38">
    <w:abstractNumId w:val="24"/>
  </w:num>
  <w:num w:numId="39">
    <w:abstractNumId w:val="26"/>
  </w:num>
  <w:num w:numId="40">
    <w:abstractNumId w:val="8"/>
  </w:num>
  <w:num w:numId="41">
    <w:abstractNumId w:val="3"/>
  </w:num>
  <w:num w:numId="42">
    <w:abstractNumId w:val="9"/>
  </w:num>
  <w:num w:numId="43">
    <w:abstractNumId w:val="7"/>
  </w:num>
  <w:num w:numId="44">
    <w:abstractNumId w:val="21"/>
  </w:num>
  <w:num w:numId="45">
    <w:abstractNumId w:val="28"/>
  </w:num>
  <w:num w:numId="46">
    <w:abstractNumId w:val="18"/>
  </w:num>
  <w:num w:numId="47">
    <w:abstractNumId w:val="2"/>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6B4"/>
    <w:rsid w:val="00001E59"/>
    <w:rsid w:val="0000226D"/>
    <w:rsid w:val="000028DA"/>
    <w:rsid w:val="0000565A"/>
    <w:rsid w:val="00006E3C"/>
    <w:rsid w:val="00011022"/>
    <w:rsid w:val="0001295A"/>
    <w:rsid w:val="000143FF"/>
    <w:rsid w:val="00017278"/>
    <w:rsid w:val="00020ACA"/>
    <w:rsid w:val="00021034"/>
    <w:rsid w:val="00021DF6"/>
    <w:rsid w:val="00023631"/>
    <w:rsid w:val="00024090"/>
    <w:rsid w:val="00024FD6"/>
    <w:rsid w:val="00025D3D"/>
    <w:rsid w:val="00031701"/>
    <w:rsid w:val="00033861"/>
    <w:rsid w:val="00036FEB"/>
    <w:rsid w:val="00037C02"/>
    <w:rsid w:val="00050CCF"/>
    <w:rsid w:val="00051A26"/>
    <w:rsid w:val="00052AF0"/>
    <w:rsid w:val="00055473"/>
    <w:rsid w:val="0005700C"/>
    <w:rsid w:val="000604EC"/>
    <w:rsid w:val="00065D6C"/>
    <w:rsid w:val="00073939"/>
    <w:rsid w:val="00073C82"/>
    <w:rsid w:val="00074921"/>
    <w:rsid w:val="00075717"/>
    <w:rsid w:val="000765D5"/>
    <w:rsid w:val="000833CE"/>
    <w:rsid w:val="00087C95"/>
    <w:rsid w:val="00092A7B"/>
    <w:rsid w:val="000963FB"/>
    <w:rsid w:val="000A06D7"/>
    <w:rsid w:val="000A1707"/>
    <w:rsid w:val="000A208C"/>
    <w:rsid w:val="000A65F4"/>
    <w:rsid w:val="000B37AE"/>
    <w:rsid w:val="000B419A"/>
    <w:rsid w:val="000B747F"/>
    <w:rsid w:val="000B7F4B"/>
    <w:rsid w:val="000C0B07"/>
    <w:rsid w:val="000C0EEF"/>
    <w:rsid w:val="000C1DE9"/>
    <w:rsid w:val="000C1E06"/>
    <w:rsid w:val="000C3A41"/>
    <w:rsid w:val="000C4CC3"/>
    <w:rsid w:val="000D1887"/>
    <w:rsid w:val="000D1EC9"/>
    <w:rsid w:val="000D7571"/>
    <w:rsid w:val="000E68D1"/>
    <w:rsid w:val="000F1E07"/>
    <w:rsid w:val="000F73D5"/>
    <w:rsid w:val="00101A69"/>
    <w:rsid w:val="00103909"/>
    <w:rsid w:val="00111AD6"/>
    <w:rsid w:val="00111F22"/>
    <w:rsid w:val="0011349E"/>
    <w:rsid w:val="001170BD"/>
    <w:rsid w:val="001237E6"/>
    <w:rsid w:val="00123C9E"/>
    <w:rsid w:val="00124330"/>
    <w:rsid w:val="00131EC1"/>
    <w:rsid w:val="00131FFE"/>
    <w:rsid w:val="001339D3"/>
    <w:rsid w:val="00133CCE"/>
    <w:rsid w:val="001406EE"/>
    <w:rsid w:val="00141903"/>
    <w:rsid w:val="001439A0"/>
    <w:rsid w:val="001443E6"/>
    <w:rsid w:val="00144D23"/>
    <w:rsid w:val="001457E0"/>
    <w:rsid w:val="001501C3"/>
    <w:rsid w:val="00150755"/>
    <w:rsid w:val="00155A2C"/>
    <w:rsid w:val="00155C62"/>
    <w:rsid w:val="00155FD9"/>
    <w:rsid w:val="0015662E"/>
    <w:rsid w:val="00156A5A"/>
    <w:rsid w:val="00160045"/>
    <w:rsid w:val="001608FC"/>
    <w:rsid w:val="001672FF"/>
    <w:rsid w:val="00174E7A"/>
    <w:rsid w:val="00181BBD"/>
    <w:rsid w:val="00182114"/>
    <w:rsid w:val="0018243E"/>
    <w:rsid w:val="00184D0B"/>
    <w:rsid w:val="00185878"/>
    <w:rsid w:val="00187317"/>
    <w:rsid w:val="00193CDB"/>
    <w:rsid w:val="001967BC"/>
    <w:rsid w:val="00196845"/>
    <w:rsid w:val="001A39CB"/>
    <w:rsid w:val="001A3EBE"/>
    <w:rsid w:val="001B0138"/>
    <w:rsid w:val="001B0CA1"/>
    <w:rsid w:val="001B2122"/>
    <w:rsid w:val="001B4C0B"/>
    <w:rsid w:val="001B6D9E"/>
    <w:rsid w:val="001C057B"/>
    <w:rsid w:val="001C08D2"/>
    <w:rsid w:val="001C0AB2"/>
    <w:rsid w:val="001C70B2"/>
    <w:rsid w:val="001D0637"/>
    <w:rsid w:val="001D7D33"/>
    <w:rsid w:val="001E06B0"/>
    <w:rsid w:val="001E2907"/>
    <w:rsid w:val="001E79D5"/>
    <w:rsid w:val="001F0770"/>
    <w:rsid w:val="001F5D9B"/>
    <w:rsid w:val="00202405"/>
    <w:rsid w:val="0021127A"/>
    <w:rsid w:val="0021197B"/>
    <w:rsid w:val="00214FF0"/>
    <w:rsid w:val="00216534"/>
    <w:rsid w:val="00220139"/>
    <w:rsid w:val="00220A39"/>
    <w:rsid w:val="002339FA"/>
    <w:rsid w:val="00237C7E"/>
    <w:rsid w:val="00240A55"/>
    <w:rsid w:val="00241558"/>
    <w:rsid w:val="00246909"/>
    <w:rsid w:val="00246E4C"/>
    <w:rsid w:val="00252C60"/>
    <w:rsid w:val="00253B6E"/>
    <w:rsid w:val="0026003B"/>
    <w:rsid w:val="002608B5"/>
    <w:rsid w:val="00263A8F"/>
    <w:rsid w:val="0027128A"/>
    <w:rsid w:val="00274982"/>
    <w:rsid w:val="00275399"/>
    <w:rsid w:val="002757B7"/>
    <w:rsid w:val="002759CD"/>
    <w:rsid w:val="002762F6"/>
    <w:rsid w:val="00280076"/>
    <w:rsid w:val="00282904"/>
    <w:rsid w:val="002844A2"/>
    <w:rsid w:val="00285853"/>
    <w:rsid w:val="00286C3B"/>
    <w:rsid w:val="00287865"/>
    <w:rsid w:val="00287EE5"/>
    <w:rsid w:val="00290657"/>
    <w:rsid w:val="00293272"/>
    <w:rsid w:val="002965B4"/>
    <w:rsid w:val="002A0C52"/>
    <w:rsid w:val="002A291D"/>
    <w:rsid w:val="002A4D04"/>
    <w:rsid w:val="002A4DB0"/>
    <w:rsid w:val="002B1202"/>
    <w:rsid w:val="002B3C0F"/>
    <w:rsid w:val="002B4A8A"/>
    <w:rsid w:val="002B5836"/>
    <w:rsid w:val="002B7DE4"/>
    <w:rsid w:val="002C20CB"/>
    <w:rsid w:val="002C2A9A"/>
    <w:rsid w:val="002C49BD"/>
    <w:rsid w:val="002D291A"/>
    <w:rsid w:val="002E3BB7"/>
    <w:rsid w:val="002E6958"/>
    <w:rsid w:val="002F25E5"/>
    <w:rsid w:val="002F6EC3"/>
    <w:rsid w:val="002F6F38"/>
    <w:rsid w:val="0030131A"/>
    <w:rsid w:val="003029B9"/>
    <w:rsid w:val="00311037"/>
    <w:rsid w:val="0032237D"/>
    <w:rsid w:val="00323433"/>
    <w:rsid w:val="0032403F"/>
    <w:rsid w:val="0032481A"/>
    <w:rsid w:val="003258A3"/>
    <w:rsid w:val="0032731E"/>
    <w:rsid w:val="00330BA1"/>
    <w:rsid w:val="00332597"/>
    <w:rsid w:val="0034641F"/>
    <w:rsid w:val="003508FD"/>
    <w:rsid w:val="00355D09"/>
    <w:rsid w:val="0036042C"/>
    <w:rsid w:val="00361161"/>
    <w:rsid w:val="00364325"/>
    <w:rsid w:val="0036444A"/>
    <w:rsid w:val="00367B38"/>
    <w:rsid w:val="00372606"/>
    <w:rsid w:val="00373F72"/>
    <w:rsid w:val="003769C3"/>
    <w:rsid w:val="00381B17"/>
    <w:rsid w:val="003842BA"/>
    <w:rsid w:val="00385817"/>
    <w:rsid w:val="00391197"/>
    <w:rsid w:val="003956C1"/>
    <w:rsid w:val="00395B50"/>
    <w:rsid w:val="003A4D61"/>
    <w:rsid w:val="003B1819"/>
    <w:rsid w:val="003B2402"/>
    <w:rsid w:val="003B3AFF"/>
    <w:rsid w:val="003C09A2"/>
    <w:rsid w:val="003C39D5"/>
    <w:rsid w:val="003C3CEC"/>
    <w:rsid w:val="003D1649"/>
    <w:rsid w:val="003E385A"/>
    <w:rsid w:val="003E3F5F"/>
    <w:rsid w:val="003E5890"/>
    <w:rsid w:val="003F07BC"/>
    <w:rsid w:val="003F0881"/>
    <w:rsid w:val="003F334B"/>
    <w:rsid w:val="00400D25"/>
    <w:rsid w:val="004017D3"/>
    <w:rsid w:val="00403765"/>
    <w:rsid w:val="004109D7"/>
    <w:rsid w:val="00411B85"/>
    <w:rsid w:val="00413D69"/>
    <w:rsid w:val="00415B06"/>
    <w:rsid w:val="00417138"/>
    <w:rsid w:val="00421685"/>
    <w:rsid w:val="00423CA0"/>
    <w:rsid w:val="00427F5D"/>
    <w:rsid w:val="004300B2"/>
    <w:rsid w:val="00431AE2"/>
    <w:rsid w:val="00432A67"/>
    <w:rsid w:val="00432B4E"/>
    <w:rsid w:val="0043456F"/>
    <w:rsid w:val="0043539B"/>
    <w:rsid w:val="00435773"/>
    <w:rsid w:val="00437C29"/>
    <w:rsid w:val="004418F6"/>
    <w:rsid w:val="00441DE7"/>
    <w:rsid w:val="00452625"/>
    <w:rsid w:val="00455B7D"/>
    <w:rsid w:val="004561D3"/>
    <w:rsid w:val="0045766A"/>
    <w:rsid w:val="004601D5"/>
    <w:rsid w:val="004629B7"/>
    <w:rsid w:val="00463AE6"/>
    <w:rsid w:val="004663F0"/>
    <w:rsid w:val="00466566"/>
    <w:rsid w:val="00472C76"/>
    <w:rsid w:val="0047383B"/>
    <w:rsid w:val="0047754B"/>
    <w:rsid w:val="00477A39"/>
    <w:rsid w:val="00481E25"/>
    <w:rsid w:val="00486C62"/>
    <w:rsid w:val="00490BE9"/>
    <w:rsid w:val="004918C3"/>
    <w:rsid w:val="004A4D3C"/>
    <w:rsid w:val="004A7A6E"/>
    <w:rsid w:val="004B0967"/>
    <w:rsid w:val="004B0D0C"/>
    <w:rsid w:val="004B2C6B"/>
    <w:rsid w:val="004B5157"/>
    <w:rsid w:val="004B7AD4"/>
    <w:rsid w:val="004C2A1E"/>
    <w:rsid w:val="004C6571"/>
    <w:rsid w:val="004D1897"/>
    <w:rsid w:val="004D4B59"/>
    <w:rsid w:val="004D7576"/>
    <w:rsid w:val="004E3AB7"/>
    <w:rsid w:val="004F3644"/>
    <w:rsid w:val="004F5DD2"/>
    <w:rsid w:val="004F6EFD"/>
    <w:rsid w:val="004F7E58"/>
    <w:rsid w:val="005011E8"/>
    <w:rsid w:val="00502D85"/>
    <w:rsid w:val="0050367C"/>
    <w:rsid w:val="00504516"/>
    <w:rsid w:val="005065B0"/>
    <w:rsid w:val="00513985"/>
    <w:rsid w:val="00513EFB"/>
    <w:rsid w:val="0052367A"/>
    <w:rsid w:val="005274AC"/>
    <w:rsid w:val="005326AB"/>
    <w:rsid w:val="00534212"/>
    <w:rsid w:val="00535A70"/>
    <w:rsid w:val="0054010F"/>
    <w:rsid w:val="00543C48"/>
    <w:rsid w:val="005538CE"/>
    <w:rsid w:val="00557180"/>
    <w:rsid w:val="00563249"/>
    <w:rsid w:val="00563DF3"/>
    <w:rsid w:val="005671F3"/>
    <w:rsid w:val="005727FC"/>
    <w:rsid w:val="0057509C"/>
    <w:rsid w:val="0058095F"/>
    <w:rsid w:val="005831E0"/>
    <w:rsid w:val="0058327F"/>
    <w:rsid w:val="005850BD"/>
    <w:rsid w:val="00585D85"/>
    <w:rsid w:val="005864F9"/>
    <w:rsid w:val="00590618"/>
    <w:rsid w:val="0059148D"/>
    <w:rsid w:val="005A78DC"/>
    <w:rsid w:val="005B0DC7"/>
    <w:rsid w:val="005B2029"/>
    <w:rsid w:val="005B57C1"/>
    <w:rsid w:val="005B6A53"/>
    <w:rsid w:val="005C04F9"/>
    <w:rsid w:val="005C1DF6"/>
    <w:rsid w:val="005C490F"/>
    <w:rsid w:val="005C593E"/>
    <w:rsid w:val="005D0417"/>
    <w:rsid w:val="005D15AB"/>
    <w:rsid w:val="005D17FA"/>
    <w:rsid w:val="005D657E"/>
    <w:rsid w:val="005E1A20"/>
    <w:rsid w:val="005E59C5"/>
    <w:rsid w:val="005F0CB5"/>
    <w:rsid w:val="005F3C4F"/>
    <w:rsid w:val="00601D6A"/>
    <w:rsid w:val="00602A1F"/>
    <w:rsid w:val="00605DF4"/>
    <w:rsid w:val="00612086"/>
    <w:rsid w:val="00621F23"/>
    <w:rsid w:val="00622918"/>
    <w:rsid w:val="006258AE"/>
    <w:rsid w:val="00626895"/>
    <w:rsid w:val="00626FEF"/>
    <w:rsid w:val="006313AD"/>
    <w:rsid w:val="006374E2"/>
    <w:rsid w:val="00637C0E"/>
    <w:rsid w:val="00641344"/>
    <w:rsid w:val="0064461F"/>
    <w:rsid w:val="006458F8"/>
    <w:rsid w:val="00651201"/>
    <w:rsid w:val="00651FC0"/>
    <w:rsid w:val="006524A2"/>
    <w:rsid w:val="00653202"/>
    <w:rsid w:val="00660254"/>
    <w:rsid w:val="00663B60"/>
    <w:rsid w:val="00664F47"/>
    <w:rsid w:val="00667CB9"/>
    <w:rsid w:val="00670406"/>
    <w:rsid w:val="00672C1E"/>
    <w:rsid w:val="00675054"/>
    <w:rsid w:val="006866D7"/>
    <w:rsid w:val="00687DA3"/>
    <w:rsid w:val="00687FCA"/>
    <w:rsid w:val="00690506"/>
    <w:rsid w:val="00697CAA"/>
    <w:rsid w:val="006A2681"/>
    <w:rsid w:val="006A2896"/>
    <w:rsid w:val="006A3939"/>
    <w:rsid w:val="006A4B4E"/>
    <w:rsid w:val="006A6A81"/>
    <w:rsid w:val="006A76B4"/>
    <w:rsid w:val="006B1BE5"/>
    <w:rsid w:val="006B22DC"/>
    <w:rsid w:val="006B2DAA"/>
    <w:rsid w:val="006B3415"/>
    <w:rsid w:val="006B76B3"/>
    <w:rsid w:val="006C401E"/>
    <w:rsid w:val="006C598E"/>
    <w:rsid w:val="006C5FE3"/>
    <w:rsid w:val="006C6A24"/>
    <w:rsid w:val="006C7932"/>
    <w:rsid w:val="006D1DCF"/>
    <w:rsid w:val="006D33C5"/>
    <w:rsid w:val="006D7382"/>
    <w:rsid w:val="006E14D2"/>
    <w:rsid w:val="006E1D27"/>
    <w:rsid w:val="006E41BA"/>
    <w:rsid w:val="006E4CE6"/>
    <w:rsid w:val="006E7DB3"/>
    <w:rsid w:val="00701338"/>
    <w:rsid w:val="00702C93"/>
    <w:rsid w:val="00703FAA"/>
    <w:rsid w:val="007048CB"/>
    <w:rsid w:val="00705465"/>
    <w:rsid w:val="007059DB"/>
    <w:rsid w:val="007117AA"/>
    <w:rsid w:val="00712B4C"/>
    <w:rsid w:val="007162BA"/>
    <w:rsid w:val="00717F73"/>
    <w:rsid w:val="00720B14"/>
    <w:rsid w:val="00723C89"/>
    <w:rsid w:val="00724BD5"/>
    <w:rsid w:val="00727854"/>
    <w:rsid w:val="00730FE8"/>
    <w:rsid w:val="007329FA"/>
    <w:rsid w:val="007338C5"/>
    <w:rsid w:val="00733DC1"/>
    <w:rsid w:val="0073480E"/>
    <w:rsid w:val="0074371E"/>
    <w:rsid w:val="00745FBB"/>
    <w:rsid w:val="00750467"/>
    <w:rsid w:val="00751678"/>
    <w:rsid w:val="007554ED"/>
    <w:rsid w:val="00755EB3"/>
    <w:rsid w:val="00762351"/>
    <w:rsid w:val="00763EE6"/>
    <w:rsid w:val="00764D5F"/>
    <w:rsid w:val="00774165"/>
    <w:rsid w:val="007747AC"/>
    <w:rsid w:val="00776C8B"/>
    <w:rsid w:val="00785CA3"/>
    <w:rsid w:val="00787DD7"/>
    <w:rsid w:val="00790AAC"/>
    <w:rsid w:val="007921D2"/>
    <w:rsid w:val="007A020D"/>
    <w:rsid w:val="007A1B7D"/>
    <w:rsid w:val="007A6631"/>
    <w:rsid w:val="007A6663"/>
    <w:rsid w:val="007A6F23"/>
    <w:rsid w:val="007A7846"/>
    <w:rsid w:val="007B2A24"/>
    <w:rsid w:val="007C04F4"/>
    <w:rsid w:val="007C2121"/>
    <w:rsid w:val="007C2E31"/>
    <w:rsid w:val="007C5562"/>
    <w:rsid w:val="007C6FA7"/>
    <w:rsid w:val="007D13B5"/>
    <w:rsid w:val="007D743D"/>
    <w:rsid w:val="007E1712"/>
    <w:rsid w:val="007E337D"/>
    <w:rsid w:val="007E4E2A"/>
    <w:rsid w:val="007F10E4"/>
    <w:rsid w:val="007F140A"/>
    <w:rsid w:val="007F44E3"/>
    <w:rsid w:val="00800902"/>
    <w:rsid w:val="0081491D"/>
    <w:rsid w:val="00817163"/>
    <w:rsid w:val="00817FD1"/>
    <w:rsid w:val="008202ED"/>
    <w:rsid w:val="00821097"/>
    <w:rsid w:val="008216D0"/>
    <w:rsid w:val="008236BC"/>
    <w:rsid w:val="008249D5"/>
    <w:rsid w:val="00825677"/>
    <w:rsid w:val="00825791"/>
    <w:rsid w:val="00826148"/>
    <w:rsid w:val="00832AF4"/>
    <w:rsid w:val="00840E87"/>
    <w:rsid w:val="00844CC1"/>
    <w:rsid w:val="00846BD0"/>
    <w:rsid w:val="00846D6F"/>
    <w:rsid w:val="00853AFD"/>
    <w:rsid w:val="00860C11"/>
    <w:rsid w:val="0086129B"/>
    <w:rsid w:val="00862436"/>
    <w:rsid w:val="0086350A"/>
    <w:rsid w:val="0086377D"/>
    <w:rsid w:val="00863B9E"/>
    <w:rsid w:val="00864831"/>
    <w:rsid w:val="00870A75"/>
    <w:rsid w:val="0087449E"/>
    <w:rsid w:val="00881E9B"/>
    <w:rsid w:val="008828D1"/>
    <w:rsid w:val="0088292A"/>
    <w:rsid w:val="008831E1"/>
    <w:rsid w:val="00883F06"/>
    <w:rsid w:val="008856FF"/>
    <w:rsid w:val="00897CAD"/>
    <w:rsid w:val="008A7E6D"/>
    <w:rsid w:val="008B25FD"/>
    <w:rsid w:val="008B31EA"/>
    <w:rsid w:val="008B4AA3"/>
    <w:rsid w:val="008C119D"/>
    <w:rsid w:val="008D0511"/>
    <w:rsid w:val="008D14B1"/>
    <w:rsid w:val="008D3976"/>
    <w:rsid w:val="008D41DC"/>
    <w:rsid w:val="008D4822"/>
    <w:rsid w:val="008D6556"/>
    <w:rsid w:val="008E25F9"/>
    <w:rsid w:val="008E3371"/>
    <w:rsid w:val="008E36C6"/>
    <w:rsid w:val="008E5DD4"/>
    <w:rsid w:val="008F1678"/>
    <w:rsid w:val="008F38F3"/>
    <w:rsid w:val="00903005"/>
    <w:rsid w:val="009038D8"/>
    <w:rsid w:val="00903FBF"/>
    <w:rsid w:val="0090586C"/>
    <w:rsid w:val="009127F8"/>
    <w:rsid w:val="00914707"/>
    <w:rsid w:val="00914F70"/>
    <w:rsid w:val="00916A1B"/>
    <w:rsid w:val="009176CD"/>
    <w:rsid w:val="0091779D"/>
    <w:rsid w:val="00920031"/>
    <w:rsid w:val="00922914"/>
    <w:rsid w:val="00924E6D"/>
    <w:rsid w:val="009253A7"/>
    <w:rsid w:val="00931F7E"/>
    <w:rsid w:val="00933123"/>
    <w:rsid w:val="009372CF"/>
    <w:rsid w:val="0094045B"/>
    <w:rsid w:val="00943607"/>
    <w:rsid w:val="00943CC7"/>
    <w:rsid w:val="0095031C"/>
    <w:rsid w:val="00952556"/>
    <w:rsid w:val="00954384"/>
    <w:rsid w:val="00955CE3"/>
    <w:rsid w:val="00963A97"/>
    <w:rsid w:val="009645E4"/>
    <w:rsid w:val="0097036B"/>
    <w:rsid w:val="009739EE"/>
    <w:rsid w:val="00973B60"/>
    <w:rsid w:val="0097736A"/>
    <w:rsid w:val="00982268"/>
    <w:rsid w:val="009862F2"/>
    <w:rsid w:val="00991D0B"/>
    <w:rsid w:val="00995491"/>
    <w:rsid w:val="0099615A"/>
    <w:rsid w:val="009A0717"/>
    <w:rsid w:val="009A2F62"/>
    <w:rsid w:val="009A30E1"/>
    <w:rsid w:val="009A3793"/>
    <w:rsid w:val="009B6539"/>
    <w:rsid w:val="009C2634"/>
    <w:rsid w:val="009C34AD"/>
    <w:rsid w:val="009C56A2"/>
    <w:rsid w:val="009C7801"/>
    <w:rsid w:val="009D035A"/>
    <w:rsid w:val="009D3162"/>
    <w:rsid w:val="009D3B72"/>
    <w:rsid w:val="009D5ADB"/>
    <w:rsid w:val="009D734F"/>
    <w:rsid w:val="009E23E7"/>
    <w:rsid w:val="009F017D"/>
    <w:rsid w:val="009F2046"/>
    <w:rsid w:val="009F4889"/>
    <w:rsid w:val="009F5655"/>
    <w:rsid w:val="00A00BC0"/>
    <w:rsid w:val="00A01297"/>
    <w:rsid w:val="00A053A6"/>
    <w:rsid w:val="00A06DD6"/>
    <w:rsid w:val="00A121FA"/>
    <w:rsid w:val="00A12781"/>
    <w:rsid w:val="00A203A8"/>
    <w:rsid w:val="00A21056"/>
    <w:rsid w:val="00A2236F"/>
    <w:rsid w:val="00A2292A"/>
    <w:rsid w:val="00A2298C"/>
    <w:rsid w:val="00A240BB"/>
    <w:rsid w:val="00A2648D"/>
    <w:rsid w:val="00A27C42"/>
    <w:rsid w:val="00A304FF"/>
    <w:rsid w:val="00A33DB6"/>
    <w:rsid w:val="00A36082"/>
    <w:rsid w:val="00A52EC9"/>
    <w:rsid w:val="00A52FF3"/>
    <w:rsid w:val="00A62EA4"/>
    <w:rsid w:val="00A65BF8"/>
    <w:rsid w:val="00A66A45"/>
    <w:rsid w:val="00A711D4"/>
    <w:rsid w:val="00A716DC"/>
    <w:rsid w:val="00A73642"/>
    <w:rsid w:val="00A75F7D"/>
    <w:rsid w:val="00A76620"/>
    <w:rsid w:val="00A8069C"/>
    <w:rsid w:val="00A81277"/>
    <w:rsid w:val="00A9412A"/>
    <w:rsid w:val="00A976F6"/>
    <w:rsid w:val="00AA4576"/>
    <w:rsid w:val="00AA4808"/>
    <w:rsid w:val="00AA7700"/>
    <w:rsid w:val="00AB1046"/>
    <w:rsid w:val="00AB309C"/>
    <w:rsid w:val="00AB5D88"/>
    <w:rsid w:val="00AC515D"/>
    <w:rsid w:val="00AC61F4"/>
    <w:rsid w:val="00AD543D"/>
    <w:rsid w:val="00AE489F"/>
    <w:rsid w:val="00AE5DFC"/>
    <w:rsid w:val="00AF20F1"/>
    <w:rsid w:val="00AF3B5E"/>
    <w:rsid w:val="00B02CF3"/>
    <w:rsid w:val="00B03086"/>
    <w:rsid w:val="00B032B5"/>
    <w:rsid w:val="00B03761"/>
    <w:rsid w:val="00B06892"/>
    <w:rsid w:val="00B074D3"/>
    <w:rsid w:val="00B10630"/>
    <w:rsid w:val="00B12A97"/>
    <w:rsid w:val="00B13D35"/>
    <w:rsid w:val="00B16DC3"/>
    <w:rsid w:val="00B17090"/>
    <w:rsid w:val="00B20311"/>
    <w:rsid w:val="00B21E98"/>
    <w:rsid w:val="00B22D27"/>
    <w:rsid w:val="00B24D7E"/>
    <w:rsid w:val="00B25B80"/>
    <w:rsid w:val="00B30A46"/>
    <w:rsid w:val="00B3183D"/>
    <w:rsid w:val="00B31949"/>
    <w:rsid w:val="00B319FC"/>
    <w:rsid w:val="00B327A3"/>
    <w:rsid w:val="00B412AD"/>
    <w:rsid w:val="00B413AA"/>
    <w:rsid w:val="00B41719"/>
    <w:rsid w:val="00B4211D"/>
    <w:rsid w:val="00B427DF"/>
    <w:rsid w:val="00B45370"/>
    <w:rsid w:val="00B462FA"/>
    <w:rsid w:val="00B541C4"/>
    <w:rsid w:val="00B55122"/>
    <w:rsid w:val="00B55D6D"/>
    <w:rsid w:val="00B55E26"/>
    <w:rsid w:val="00B577E5"/>
    <w:rsid w:val="00B601F1"/>
    <w:rsid w:val="00B61AC1"/>
    <w:rsid w:val="00B6274F"/>
    <w:rsid w:val="00B62E9F"/>
    <w:rsid w:val="00B72CB0"/>
    <w:rsid w:val="00B73FEC"/>
    <w:rsid w:val="00B7434A"/>
    <w:rsid w:val="00B748F3"/>
    <w:rsid w:val="00B765A2"/>
    <w:rsid w:val="00B77C82"/>
    <w:rsid w:val="00B83DF6"/>
    <w:rsid w:val="00B87E39"/>
    <w:rsid w:val="00B924C7"/>
    <w:rsid w:val="00B92760"/>
    <w:rsid w:val="00B9332A"/>
    <w:rsid w:val="00B94F77"/>
    <w:rsid w:val="00B9521E"/>
    <w:rsid w:val="00B962DA"/>
    <w:rsid w:val="00B96590"/>
    <w:rsid w:val="00B97EAB"/>
    <w:rsid w:val="00BA0CD8"/>
    <w:rsid w:val="00BA2CE3"/>
    <w:rsid w:val="00BA60F8"/>
    <w:rsid w:val="00BA744F"/>
    <w:rsid w:val="00BB5406"/>
    <w:rsid w:val="00BC0E42"/>
    <w:rsid w:val="00BC2920"/>
    <w:rsid w:val="00BC2B41"/>
    <w:rsid w:val="00BC6A80"/>
    <w:rsid w:val="00BD1233"/>
    <w:rsid w:val="00BD1C68"/>
    <w:rsid w:val="00BD5FB8"/>
    <w:rsid w:val="00BD6B61"/>
    <w:rsid w:val="00BD7133"/>
    <w:rsid w:val="00BE2C5C"/>
    <w:rsid w:val="00BE306E"/>
    <w:rsid w:val="00BF1291"/>
    <w:rsid w:val="00BF32FE"/>
    <w:rsid w:val="00BF7E37"/>
    <w:rsid w:val="00C0187E"/>
    <w:rsid w:val="00C039CF"/>
    <w:rsid w:val="00C0619E"/>
    <w:rsid w:val="00C07098"/>
    <w:rsid w:val="00C10228"/>
    <w:rsid w:val="00C216BB"/>
    <w:rsid w:val="00C2351F"/>
    <w:rsid w:val="00C248F2"/>
    <w:rsid w:val="00C24C5D"/>
    <w:rsid w:val="00C300EC"/>
    <w:rsid w:val="00C3692E"/>
    <w:rsid w:val="00C37008"/>
    <w:rsid w:val="00C40C6C"/>
    <w:rsid w:val="00C51E69"/>
    <w:rsid w:val="00C561C9"/>
    <w:rsid w:val="00C563A4"/>
    <w:rsid w:val="00C5703C"/>
    <w:rsid w:val="00C625B8"/>
    <w:rsid w:val="00C77D70"/>
    <w:rsid w:val="00C82E0D"/>
    <w:rsid w:val="00C87190"/>
    <w:rsid w:val="00C93537"/>
    <w:rsid w:val="00CA2B88"/>
    <w:rsid w:val="00CB2710"/>
    <w:rsid w:val="00CC1D7C"/>
    <w:rsid w:val="00CE28DD"/>
    <w:rsid w:val="00CE6013"/>
    <w:rsid w:val="00CF457E"/>
    <w:rsid w:val="00CF62A9"/>
    <w:rsid w:val="00D01E34"/>
    <w:rsid w:val="00D0282A"/>
    <w:rsid w:val="00D041BD"/>
    <w:rsid w:val="00D04AD8"/>
    <w:rsid w:val="00D108D2"/>
    <w:rsid w:val="00D11D73"/>
    <w:rsid w:val="00D126E5"/>
    <w:rsid w:val="00D14794"/>
    <w:rsid w:val="00D175C0"/>
    <w:rsid w:val="00D17C70"/>
    <w:rsid w:val="00D27DE3"/>
    <w:rsid w:val="00D320EA"/>
    <w:rsid w:val="00D47BD3"/>
    <w:rsid w:val="00D53405"/>
    <w:rsid w:val="00D53957"/>
    <w:rsid w:val="00D56D6A"/>
    <w:rsid w:val="00D601B8"/>
    <w:rsid w:val="00D60AA8"/>
    <w:rsid w:val="00D6112B"/>
    <w:rsid w:val="00D6118B"/>
    <w:rsid w:val="00D6369A"/>
    <w:rsid w:val="00D651FF"/>
    <w:rsid w:val="00D65A2D"/>
    <w:rsid w:val="00D65B15"/>
    <w:rsid w:val="00D66982"/>
    <w:rsid w:val="00D67B18"/>
    <w:rsid w:val="00D70B10"/>
    <w:rsid w:val="00D7134F"/>
    <w:rsid w:val="00D85177"/>
    <w:rsid w:val="00D86FAE"/>
    <w:rsid w:val="00D953B7"/>
    <w:rsid w:val="00DA5371"/>
    <w:rsid w:val="00DB10D1"/>
    <w:rsid w:val="00DB3548"/>
    <w:rsid w:val="00DB4E6E"/>
    <w:rsid w:val="00DB5634"/>
    <w:rsid w:val="00DB5C5A"/>
    <w:rsid w:val="00DC09D2"/>
    <w:rsid w:val="00DC112D"/>
    <w:rsid w:val="00DC27CE"/>
    <w:rsid w:val="00DC2F44"/>
    <w:rsid w:val="00DC3A2D"/>
    <w:rsid w:val="00DC628E"/>
    <w:rsid w:val="00DC692E"/>
    <w:rsid w:val="00DD0716"/>
    <w:rsid w:val="00DD5878"/>
    <w:rsid w:val="00DE3442"/>
    <w:rsid w:val="00DE3868"/>
    <w:rsid w:val="00DE3981"/>
    <w:rsid w:val="00DE4E19"/>
    <w:rsid w:val="00DF2E01"/>
    <w:rsid w:val="00DF3398"/>
    <w:rsid w:val="00DF3F66"/>
    <w:rsid w:val="00DF46A5"/>
    <w:rsid w:val="00DF522D"/>
    <w:rsid w:val="00DF659B"/>
    <w:rsid w:val="00E13179"/>
    <w:rsid w:val="00E14801"/>
    <w:rsid w:val="00E14813"/>
    <w:rsid w:val="00E15969"/>
    <w:rsid w:val="00E16C04"/>
    <w:rsid w:val="00E20CF1"/>
    <w:rsid w:val="00E23705"/>
    <w:rsid w:val="00E24039"/>
    <w:rsid w:val="00E27A56"/>
    <w:rsid w:val="00E301BE"/>
    <w:rsid w:val="00E31185"/>
    <w:rsid w:val="00E3338B"/>
    <w:rsid w:val="00E3785F"/>
    <w:rsid w:val="00E411F4"/>
    <w:rsid w:val="00E44AF2"/>
    <w:rsid w:val="00E45BDB"/>
    <w:rsid w:val="00E505E9"/>
    <w:rsid w:val="00E55C65"/>
    <w:rsid w:val="00E57A59"/>
    <w:rsid w:val="00E60025"/>
    <w:rsid w:val="00E6484E"/>
    <w:rsid w:val="00E65B7E"/>
    <w:rsid w:val="00E67435"/>
    <w:rsid w:val="00E72CF8"/>
    <w:rsid w:val="00E76D2D"/>
    <w:rsid w:val="00E77EBE"/>
    <w:rsid w:val="00E83141"/>
    <w:rsid w:val="00E8431B"/>
    <w:rsid w:val="00E90451"/>
    <w:rsid w:val="00E918DF"/>
    <w:rsid w:val="00E93CC1"/>
    <w:rsid w:val="00E95755"/>
    <w:rsid w:val="00E96056"/>
    <w:rsid w:val="00E96690"/>
    <w:rsid w:val="00E97D7F"/>
    <w:rsid w:val="00EA3A72"/>
    <w:rsid w:val="00EA57D6"/>
    <w:rsid w:val="00EA58F5"/>
    <w:rsid w:val="00EA5C26"/>
    <w:rsid w:val="00EB15AE"/>
    <w:rsid w:val="00EB34DA"/>
    <w:rsid w:val="00EB4C96"/>
    <w:rsid w:val="00EB63EA"/>
    <w:rsid w:val="00EC08C5"/>
    <w:rsid w:val="00EC22BE"/>
    <w:rsid w:val="00EC583E"/>
    <w:rsid w:val="00EC6B70"/>
    <w:rsid w:val="00ED003F"/>
    <w:rsid w:val="00ED1349"/>
    <w:rsid w:val="00ED2030"/>
    <w:rsid w:val="00EE0B03"/>
    <w:rsid w:val="00EE2D43"/>
    <w:rsid w:val="00EE4403"/>
    <w:rsid w:val="00EE5B42"/>
    <w:rsid w:val="00EE6314"/>
    <w:rsid w:val="00EF05EC"/>
    <w:rsid w:val="00EF42FF"/>
    <w:rsid w:val="00EF540B"/>
    <w:rsid w:val="00F0181A"/>
    <w:rsid w:val="00F03222"/>
    <w:rsid w:val="00F03D44"/>
    <w:rsid w:val="00F03F63"/>
    <w:rsid w:val="00F048AC"/>
    <w:rsid w:val="00F05F6C"/>
    <w:rsid w:val="00F104D8"/>
    <w:rsid w:val="00F110F3"/>
    <w:rsid w:val="00F1286E"/>
    <w:rsid w:val="00F14793"/>
    <w:rsid w:val="00F20FF0"/>
    <w:rsid w:val="00F22D6D"/>
    <w:rsid w:val="00F23B8E"/>
    <w:rsid w:val="00F26BC6"/>
    <w:rsid w:val="00F42CCB"/>
    <w:rsid w:val="00F5102C"/>
    <w:rsid w:val="00F553BD"/>
    <w:rsid w:val="00F63FB8"/>
    <w:rsid w:val="00F64D45"/>
    <w:rsid w:val="00F65A82"/>
    <w:rsid w:val="00F6659C"/>
    <w:rsid w:val="00F71EF2"/>
    <w:rsid w:val="00F72A08"/>
    <w:rsid w:val="00F819ED"/>
    <w:rsid w:val="00F81FB1"/>
    <w:rsid w:val="00F843C4"/>
    <w:rsid w:val="00F90067"/>
    <w:rsid w:val="00F90908"/>
    <w:rsid w:val="00F92743"/>
    <w:rsid w:val="00F94368"/>
    <w:rsid w:val="00F94871"/>
    <w:rsid w:val="00FA6E47"/>
    <w:rsid w:val="00FA71D1"/>
    <w:rsid w:val="00FB0916"/>
    <w:rsid w:val="00FB0A1B"/>
    <w:rsid w:val="00FB332A"/>
    <w:rsid w:val="00FB3911"/>
    <w:rsid w:val="00FC2409"/>
    <w:rsid w:val="00FC5BE9"/>
    <w:rsid w:val="00FD01F9"/>
    <w:rsid w:val="00FD50BE"/>
    <w:rsid w:val="00FE111A"/>
    <w:rsid w:val="00FE24BE"/>
    <w:rsid w:val="00FE4406"/>
    <w:rsid w:val="00FE7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0F"/>
    <w:pPr>
      <w:widowControl w:val="0"/>
    </w:pPr>
    <w:rPr>
      <w:sz w:val="24"/>
      <w:szCs w:val="20"/>
    </w:rPr>
  </w:style>
  <w:style w:type="paragraph" w:styleId="Heading1">
    <w:name w:val="heading 1"/>
    <w:basedOn w:val="Normal"/>
    <w:next w:val="Normal"/>
    <w:link w:val="Heading1Char"/>
    <w:uiPriority w:val="99"/>
    <w:qFormat/>
    <w:rsid w:val="00FD01F9"/>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01F9"/>
    <w:rPr>
      <w:rFonts w:ascii="Cambria" w:hAnsi="Cambria" w:cs="Times New Roman"/>
      <w:b/>
      <w:bCs/>
      <w:snapToGrid w:val="0"/>
      <w:kern w:val="32"/>
      <w:sz w:val="32"/>
      <w:szCs w:val="32"/>
    </w:rPr>
  </w:style>
  <w:style w:type="character" w:styleId="FootnoteReference">
    <w:name w:val="footnote reference"/>
    <w:basedOn w:val="DefaultParagraphFont"/>
    <w:uiPriority w:val="99"/>
    <w:semiHidden/>
    <w:rsid w:val="002B3C0F"/>
    <w:rPr>
      <w:rFonts w:cs="Times New Roman"/>
    </w:rPr>
  </w:style>
  <w:style w:type="paragraph" w:customStyle="1" w:styleId="Level1">
    <w:name w:val="Level 1"/>
    <w:basedOn w:val="Normal"/>
    <w:uiPriority w:val="99"/>
    <w:rsid w:val="002B3C0F"/>
    <w:pPr>
      <w:numPr>
        <w:numId w:val="2"/>
      </w:numPr>
      <w:ind w:left="720" w:hanging="720"/>
      <w:outlineLvl w:val="0"/>
    </w:pPr>
  </w:style>
  <w:style w:type="paragraph" w:styleId="Header">
    <w:name w:val="header"/>
    <w:basedOn w:val="Normal"/>
    <w:link w:val="HeaderChar"/>
    <w:uiPriority w:val="99"/>
    <w:rsid w:val="002B3C0F"/>
    <w:pPr>
      <w:tabs>
        <w:tab w:val="center" w:pos="4320"/>
        <w:tab w:val="right" w:pos="8640"/>
      </w:tabs>
    </w:pPr>
  </w:style>
  <w:style w:type="character" w:customStyle="1" w:styleId="HeaderChar">
    <w:name w:val="Header Char"/>
    <w:basedOn w:val="DefaultParagraphFont"/>
    <w:link w:val="Header"/>
    <w:uiPriority w:val="99"/>
    <w:semiHidden/>
    <w:locked/>
    <w:rsid w:val="003D1649"/>
    <w:rPr>
      <w:rFonts w:cs="Times New Roman"/>
      <w:sz w:val="20"/>
      <w:szCs w:val="20"/>
    </w:rPr>
  </w:style>
  <w:style w:type="paragraph" w:styleId="Footer">
    <w:name w:val="footer"/>
    <w:basedOn w:val="Normal"/>
    <w:link w:val="FooterChar"/>
    <w:uiPriority w:val="99"/>
    <w:rsid w:val="002B3C0F"/>
    <w:pPr>
      <w:tabs>
        <w:tab w:val="center" w:pos="4320"/>
        <w:tab w:val="right" w:pos="8640"/>
      </w:tabs>
    </w:pPr>
  </w:style>
  <w:style w:type="character" w:customStyle="1" w:styleId="FooterChar">
    <w:name w:val="Footer Char"/>
    <w:basedOn w:val="DefaultParagraphFont"/>
    <w:link w:val="Footer"/>
    <w:uiPriority w:val="99"/>
    <w:semiHidden/>
    <w:locked/>
    <w:rsid w:val="003D1649"/>
    <w:rPr>
      <w:rFonts w:cs="Times New Roman"/>
      <w:sz w:val="20"/>
      <w:szCs w:val="20"/>
    </w:rPr>
  </w:style>
  <w:style w:type="character" w:styleId="PageNumber">
    <w:name w:val="page number"/>
    <w:basedOn w:val="DefaultParagraphFont"/>
    <w:uiPriority w:val="99"/>
    <w:rsid w:val="002B3C0F"/>
    <w:rPr>
      <w:rFonts w:cs="Times New Roman"/>
    </w:rPr>
  </w:style>
  <w:style w:type="character" w:styleId="CommentReference">
    <w:name w:val="annotation reference"/>
    <w:basedOn w:val="DefaultParagraphFont"/>
    <w:uiPriority w:val="99"/>
    <w:semiHidden/>
    <w:rsid w:val="002B3C0F"/>
    <w:rPr>
      <w:rFonts w:cs="Times New Roman"/>
      <w:sz w:val="16"/>
      <w:szCs w:val="16"/>
    </w:rPr>
  </w:style>
  <w:style w:type="paragraph" w:styleId="CommentText">
    <w:name w:val="annotation text"/>
    <w:basedOn w:val="Normal"/>
    <w:link w:val="CommentTextChar"/>
    <w:uiPriority w:val="99"/>
    <w:semiHidden/>
    <w:rsid w:val="002B3C0F"/>
    <w:rPr>
      <w:sz w:val="20"/>
    </w:rPr>
  </w:style>
  <w:style w:type="character" w:customStyle="1" w:styleId="CommentTextChar">
    <w:name w:val="Comment Text Char"/>
    <w:basedOn w:val="DefaultParagraphFont"/>
    <w:link w:val="CommentText"/>
    <w:uiPriority w:val="99"/>
    <w:semiHidden/>
    <w:locked/>
    <w:rsid w:val="003D1649"/>
    <w:rPr>
      <w:rFonts w:cs="Times New Roman"/>
      <w:sz w:val="20"/>
      <w:szCs w:val="20"/>
    </w:rPr>
  </w:style>
  <w:style w:type="paragraph" w:styleId="CommentSubject">
    <w:name w:val="annotation subject"/>
    <w:basedOn w:val="CommentText"/>
    <w:next w:val="CommentText"/>
    <w:link w:val="CommentSubjectChar"/>
    <w:uiPriority w:val="99"/>
    <w:semiHidden/>
    <w:rsid w:val="002B3C0F"/>
    <w:rPr>
      <w:b/>
      <w:bCs/>
    </w:rPr>
  </w:style>
  <w:style w:type="character" w:customStyle="1" w:styleId="CommentSubjectChar">
    <w:name w:val="Comment Subject Char"/>
    <w:basedOn w:val="CommentTextChar"/>
    <w:link w:val="CommentSubject"/>
    <w:uiPriority w:val="99"/>
    <w:semiHidden/>
    <w:locked/>
    <w:rsid w:val="003D1649"/>
    <w:rPr>
      <w:b/>
      <w:bCs/>
    </w:rPr>
  </w:style>
  <w:style w:type="paragraph" w:styleId="BalloonText">
    <w:name w:val="Balloon Text"/>
    <w:basedOn w:val="Normal"/>
    <w:link w:val="BalloonTextChar"/>
    <w:uiPriority w:val="99"/>
    <w:semiHidden/>
    <w:rsid w:val="002B3C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649"/>
    <w:rPr>
      <w:rFonts w:cs="Times New Roman"/>
      <w:sz w:val="2"/>
    </w:rPr>
  </w:style>
  <w:style w:type="paragraph" w:customStyle="1" w:styleId="level10">
    <w:name w:val="level1"/>
    <w:basedOn w:val="Normal"/>
    <w:uiPriority w:val="99"/>
    <w:rsid w:val="002B3C0F"/>
    <w:pPr>
      <w:widowControl/>
      <w:spacing w:before="100" w:beforeAutospacing="1" w:after="100" w:afterAutospacing="1"/>
    </w:pPr>
    <w:rPr>
      <w:szCs w:val="24"/>
    </w:rPr>
  </w:style>
  <w:style w:type="table" w:styleId="TableGrid">
    <w:name w:val="Table Grid"/>
    <w:basedOn w:val="TableNormal"/>
    <w:uiPriority w:val="99"/>
    <w:rsid w:val="00C563A4"/>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83F06"/>
    <w:pPr>
      <w:autoSpaceDE w:val="0"/>
      <w:autoSpaceDN w:val="0"/>
      <w:adjustRightInd w:val="0"/>
    </w:pPr>
    <w:rPr>
      <w:rFonts w:ascii="Helvetica 55 Roman" w:hAnsi="Helvetica 55 Roman" w:cs="Helvetica 55 Roman"/>
      <w:color w:val="000000"/>
      <w:sz w:val="24"/>
      <w:szCs w:val="24"/>
    </w:rPr>
  </w:style>
  <w:style w:type="character" w:customStyle="1" w:styleId="A2">
    <w:name w:val="A2"/>
    <w:uiPriority w:val="99"/>
    <w:rsid w:val="00883F06"/>
    <w:rPr>
      <w:color w:val="000000"/>
      <w:sz w:val="20"/>
    </w:rPr>
  </w:style>
  <w:style w:type="character" w:styleId="Emphasis">
    <w:name w:val="Emphasis"/>
    <w:basedOn w:val="DefaultParagraphFont"/>
    <w:uiPriority w:val="99"/>
    <w:qFormat/>
    <w:rsid w:val="00FD01F9"/>
    <w:rPr>
      <w:rFonts w:cs="Times New Roman"/>
      <w:i/>
      <w:iCs/>
    </w:rPr>
  </w:style>
  <w:style w:type="paragraph" w:styleId="ListParagraph">
    <w:name w:val="List Paragraph"/>
    <w:basedOn w:val="Normal"/>
    <w:uiPriority w:val="99"/>
    <w:qFormat/>
    <w:rsid w:val="00651FC0"/>
    <w:pPr>
      <w:widowControl/>
      <w:spacing w:after="200" w:line="276" w:lineRule="auto"/>
      <w:ind w:left="720"/>
      <w:contextualSpacing/>
    </w:pPr>
    <w:rPr>
      <w:rFonts w:ascii="Calibri" w:hAnsi="Calibri"/>
      <w:sz w:val="22"/>
      <w:szCs w:val="22"/>
    </w:rPr>
  </w:style>
  <w:style w:type="table" w:styleId="TableColumns3">
    <w:name w:val="Table Columns 3"/>
    <w:basedOn w:val="TableNormal"/>
    <w:uiPriority w:val="99"/>
    <w:rsid w:val="00C10228"/>
    <w:pPr>
      <w:widowControl w:val="0"/>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10228"/>
    <w:pPr>
      <w:widowControl w:val="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3Deffects3">
    <w:name w:val="Table 3D effects 3"/>
    <w:basedOn w:val="TableNormal"/>
    <w:uiPriority w:val="99"/>
    <w:rsid w:val="00C10228"/>
    <w:pPr>
      <w:widowControl w:val="0"/>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orful3">
    <w:name w:val="Table Colorful 3"/>
    <w:basedOn w:val="TableNormal"/>
    <w:uiPriority w:val="99"/>
    <w:rsid w:val="00C10228"/>
    <w:pPr>
      <w:widowControl w:val="0"/>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3">
    <w:name w:val="Table Classic 3"/>
    <w:basedOn w:val="TableNormal"/>
    <w:uiPriority w:val="99"/>
    <w:rsid w:val="00C10228"/>
    <w:pPr>
      <w:widowControl w:val="0"/>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numbering" w:customStyle="1" w:styleId="Style1">
    <w:name w:val="Style1"/>
    <w:rsid w:val="00BC036B"/>
    <w:pPr>
      <w:numPr>
        <w:numId w:val="34"/>
      </w:numPr>
    </w:pPr>
  </w:style>
</w:styles>
</file>

<file path=word/webSettings.xml><?xml version="1.0" encoding="utf-8"?>
<w:webSettings xmlns:r="http://schemas.openxmlformats.org/officeDocument/2006/relationships" xmlns:w="http://schemas.openxmlformats.org/wordprocessingml/2006/main">
  <w:divs>
    <w:div w:id="1593928555">
      <w:marLeft w:val="0"/>
      <w:marRight w:val="0"/>
      <w:marTop w:val="0"/>
      <w:marBottom w:val="0"/>
      <w:divBdr>
        <w:top w:val="none" w:sz="0" w:space="0" w:color="auto"/>
        <w:left w:val="none" w:sz="0" w:space="0" w:color="auto"/>
        <w:bottom w:val="none" w:sz="0" w:space="0" w:color="auto"/>
        <w:right w:val="none" w:sz="0" w:space="0" w:color="auto"/>
      </w:divBdr>
    </w:div>
    <w:div w:id="1593928556">
      <w:marLeft w:val="0"/>
      <w:marRight w:val="0"/>
      <w:marTop w:val="0"/>
      <w:marBottom w:val="0"/>
      <w:divBdr>
        <w:top w:val="none" w:sz="0" w:space="0" w:color="auto"/>
        <w:left w:val="none" w:sz="0" w:space="0" w:color="auto"/>
        <w:bottom w:val="none" w:sz="0" w:space="0" w:color="auto"/>
        <w:right w:val="none" w:sz="0" w:space="0" w:color="auto"/>
      </w:divBdr>
    </w:div>
    <w:div w:id="1593928557">
      <w:marLeft w:val="0"/>
      <w:marRight w:val="0"/>
      <w:marTop w:val="0"/>
      <w:marBottom w:val="0"/>
      <w:divBdr>
        <w:top w:val="none" w:sz="0" w:space="0" w:color="auto"/>
        <w:left w:val="none" w:sz="0" w:space="0" w:color="auto"/>
        <w:bottom w:val="none" w:sz="0" w:space="0" w:color="auto"/>
        <w:right w:val="none" w:sz="0" w:space="0" w:color="auto"/>
      </w:divBdr>
    </w:div>
    <w:div w:id="1593928558">
      <w:marLeft w:val="0"/>
      <w:marRight w:val="0"/>
      <w:marTop w:val="0"/>
      <w:marBottom w:val="0"/>
      <w:divBdr>
        <w:top w:val="none" w:sz="0" w:space="0" w:color="auto"/>
        <w:left w:val="none" w:sz="0" w:space="0" w:color="auto"/>
        <w:bottom w:val="none" w:sz="0" w:space="0" w:color="auto"/>
        <w:right w:val="none" w:sz="0" w:space="0" w:color="auto"/>
      </w:divBdr>
    </w:div>
    <w:div w:id="1593928559">
      <w:marLeft w:val="0"/>
      <w:marRight w:val="0"/>
      <w:marTop w:val="0"/>
      <w:marBottom w:val="0"/>
      <w:divBdr>
        <w:top w:val="none" w:sz="0" w:space="0" w:color="auto"/>
        <w:left w:val="none" w:sz="0" w:space="0" w:color="auto"/>
        <w:bottom w:val="none" w:sz="0" w:space="0" w:color="auto"/>
        <w:right w:val="none" w:sz="0" w:space="0" w:color="auto"/>
      </w:divBdr>
    </w:div>
    <w:div w:id="1593928560">
      <w:marLeft w:val="0"/>
      <w:marRight w:val="0"/>
      <w:marTop w:val="0"/>
      <w:marBottom w:val="0"/>
      <w:divBdr>
        <w:top w:val="none" w:sz="0" w:space="0" w:color="auto"/>
        <w:left w:val="none" w:sz="0" w:space="0" w:color="auto"/>
        <w:bottom w:val="none" w:sz="0" w:space="0" w:color="auto"/>
        <w:right w:val="none" w:sz="0" w:space="0" w:color="auto"/>
      </w:divBdr>
    </w:div>
    <w:div w:id="1593928561">
      <w:marLeft w:val="0"/>
      <w:marRight w:val="0"/>
      <w:marTop w:val="0"/>
      <w:marBottom w:val="0"/>
      <w:divBdr>
        <w:top w:val="none" w:sz="0" w:space="0" w:color="auto"/>
        <w:left w:val="none" w:sz="0" w:space="0" w:color="auto"/>
        <w:bottom w:val="none" w:sz="0" w:space="0" w:color="auto"/>
        <w:right w:val="none" w:sz="0" w:space="0" w:color="auto"/>
      </w:divBdr>
    </w:div>
    <w:div w:id="1593928562">
      <w:marLeft w:val="0"/>
      <w:marRight w:val="0"/>
      <w:marTop w:val="0"/>
      <w:marBottom w:val="0"/>
      <w:divBdr>
        <w:top w:val="none" w:sz="0" w:space="0" w:color="auto"/>
        <w:left w:val="none" w:sz="0" w:space="0" w:color="auto"/>
        <w:bottom w:val="none" w:sz="0" w:space="0" w:color="auto"/>
        <w:right w:val="none" w:sz="0" w:space="0" w:color="auto"/>
      </w:divBdr>
    </w:div>
    <w:div w:id="1593928563">
      <w:marLeft w:val="0"/>
      <w:marRight w:val="0"/>
      <w:marTop w:val="0"/>
      <w:marBottom w:val="0"/>
      <w:divBdr>
        <w:top w:val="none" w:sz="0" w:space="0" w:color="auto"/>
        <w:left w:val="none" w:sz="0" w:space="0" w:color="auto"/>
        <w:bottom w:val="none" w:sz="0" w:space="0" w:color="auto"/>
        <w:right w:val="none" w:sz="0" w:space="0" w:color="auto"/>
      </w:divBdr>
    </w:div>
    <w:div w:id="1593928564">
      <w:marLeft w:val="0"/>
      <w:marRight w:val="0"/>
      <w:marTop w:val="0"/>
      <w:marBottom w:val="0"/>
      <w:divBdr>
        <w:top w:val="none" w:sz="0" w:space="0" w:color="auto"/>
        <w:left w:val="none" w:sz="0" w:space="0" w:color="auto"/>
        <w:bottom w:val="none" w:sz="0" w:space="0" w:color="auto"/>
        <w:right w:val="none" w:sz="0" w:space="0" w:color="auto"/>
      </w:divBdr>
    </w:div>
    <w:div w:id="1593928565">
      <w:marLeft w:val="0"/>
      <w:marRight w:val="0"/>
      <w:marTop w:val="0"/>
      <w:marBottom w:val="0"/>
      <w:divBdr>
        <w:top w:val="none" w:sz="0" w:space="0" w:color="auto"/>
        <w:left w:val="none" w:sz="0" w:space="0" w:color="auto"/>
        <w:bottom w:val="none" w:sz="0" w:space="0" w:color="auto"/>
        <w:right w:val="none" w:sz="0" w:space="0" w:color="auto"/>
      </w:divBdr>
    </w:div>
    <w:div w:id="1593928566">
      <w:marLeft w:val="0"/>
      <w:marRight w:val="0"/>
      <w:marTop w:val="0"/>
      <w:marBottom w:val="0"/>
      <w:divBdr>
        <w:top w:val="none" w:sz="0" w:space="0" w:color="auto"/>
        <w:left w:val="none" w:sz="0" w:space="0" w:color="auto"/>
        <w:bottom w:val="none" w:sz="0" w:space="0" w:color="auto"/>
        <w:right w:val="none" w:sz="0" w:space="0" w:color="auto"/>
      </w:divBdr>
    </w:div>
    <w:div w:id="1593928567">
      <w:marLeft w:val="0"/>
      <w:marRight w:val="0"/>
      <w:marTop w:val="0"/>
      <w:marBottom w:val="0"/>
      <w:divBdr>
        <w:top w:val="none" w:sz="0" w:space="0" w:color="auto"/>
        <w:left w:val="none" w:sz="0" w:space="0" w:color="auto"/>
        <w:bottom w:val="none" w:sz="0" w:space="0" w:color="auto"/>
        <w:right w:val="none" w:sz="0" w:space="0" w:color="auto"/>
      </w:divBdr>
    </w:div>
    <w:div w:id="1593928568">
      <w:marLeft w:val="0"/>
      <w:marRight w:val="0"/>
      <w:marTop w:val="0"/>
      <w:marBottom w:val="0"/>
      <w:divBdr>
        <w:top w:val="none" w:sz="0" w:space="0" w:color="auto"/>
        <w:left w:val="none" w:sz="0" w:space="0" w:color="auto"/>
        <w:bottom w:val="none" w:sz="0" w:space="0" w:color="auto"/>
        <w:right w:val="none" w:sz="0" w:space="0" w:color="auto"/>
      </w:divBdr>
    </w:div>
    <w:div w:id="1593928569">
      <w:marLeft w:val="0"/>
      <w:marRight w:val="0"/>
      <w:marTop w:val="0"/>
      <w:marBottom w:val="0"/>
      <w:divBdr>
        <w:top w:val="none" w:sz="0" w:space="0" w:color="auto"/>
        <w:left w:val="none" w:sz="0" w:space="0" w:color="auto"/>
        <w:bottom w:val="none" w:sz="0" w:space="0" w:color="auto"/>
        <w:right w:val="none" w:sz="0" w:space="0" w:color="auto"/>
      </w:divBdr>
    </w:div>
    <w:div w:id="1593928570">
      <w:marLeft w:val="0"/>
      <w:marRight w:val="0"/>
      <w:marTop w:val="0"/>
      <w:marBottom w:val="0"/>
      <w:divBdr>
        <w:top w:val="none" w:sz="0" w:space="0" w:color="auto"/>
        <w:left w:val="none" w:sz="0" w:space="0" w:color="auto"/>
        <w:bottom w:val="none" w:sz="0" w:space="0" w:color="auto"/>
        <w:right w:val="none" w:sz="0" w:space="0" w:color="auto"/>
      </w:divBdr>
    </w:div>
    <w:div w:id="1593928571">
      <w:marLeft w:val="0"/>
      <w:marRight w:val="0"/>
      <w:marTop w:val="0"/>
      <w:marBottom w:val="0"/>
      <w:divBdr>
        <w:top w:val="none" w:sz="0" w:space="0" w:color="auto"/>
        <w:left w:val="none" w:sz="0" w:space="0" w:color="auto"/>
        <w:bottom w:val="none" w:sz="0" w:space="0" w:color="auto"/>
        <w:right w:val="none" w:sz="0" w:space="0" w:color="auto"/>
      </w:divBdr>
    </w:div>
    <w:div w:id="1593928572">
      <w:marLeft w:val="0"/>
      <w:marRight w:val="0"/>
      <w:marTop w:val="0"/>
      <w:marBottom w:val="0"/>
      <w:divBdr>
        <w:top w:val="none" w:sz="0" w:space="0" w:color="auto"/>
        <w:left w:val="none" w:sz="0" w:space="0" w:color="auto"/>
        <w:bottom w:val="none" w:sz="0" w:space="0" w:color="auto"/>
        <w:right w:val="none" w:sz="0" w:space="0" w:color="auto"/>
      </w:divBdr>
    </w:div>
    <w:div w:id="1593928573">
      <w:marLeft w:val="0"/>
      <w:marRight w:val="0"/>
      <w:marTop w:val="0"/>
      <w:marBottom w:val="0"/>
      <w:divBdr>
        <w:top w:val="none" w:sz="0" w:space="0" w:color="auto"/>
        <w:left w:val="none" w:sz="0" w:space="0" w:color="auto"/>
        <w:bottom w:val="none" w:sz="0" w:space="0" w:color="auto"/>
        <w:right w:val="none" w:sz="0" w:space="0" w:color="auto"/>
      </w:divBdr>
    </w:div>
    <w:div w:id="1593928574">
      <w:marLeft w:val="0"/>
      <w:marRight w:val="0"/>
      <w:marTop w:val="0"/>
      <w:marBottom w:val="0"/>
      <w:divBdr>
        <w:top w:val="none" w:sz="0" w:space="0" w:color="auto"/>
        <w:left w:val="none" w:sz="0" w:space="0" w:color="auto"/>
        <w:bottom w:val="none" w:sz="0" w:space="0" w:color="auto"/>
        <w:right w:val="none" w:sz="0" w:space="0" w:color="auto"/>
      </w:divBdr>
    </w:div>
    <w:div w:id="1593928575">
      <w:marLeft w:val="0"/>
      <w:marRight w:val="0"/>
      <w:marTop w:val="0"/>
      <w:marBottom w:val="0"/>
      <w:divBdr>
        <w:top w:val="none" w:sz="0" w:space="0" w:color="auto"/>
        <w:left w:val="none" w:sz="0" w:space="0" w:color="auto"/>
        <w:bottom w:val="none" w:sz="0" w:space="0" w:color="auto"/>
        <w:right w:val="none" w:sz="0" w:space="0" w:color="auto"/>
      </w:divBdr>
    </w:div>
    <w:div w:id="1593928576">
      <w:marLeft w:val="0"/>
      <w:marRight w:val="0"/>
      <w:marTop w:val="0"/>
      <w:marBottom w:val="0"/>
      <w:divBdr>
        <w:top w:val="none" w:sz="0" w:space="0" w:color="auto"/>
        <w:left w:val="none" w:sz="0" w:space="0" w:color="auto"/>
        <w:bottom w:val="none" w:sz="0" w:space="0" w:color="auto"/>
        <w:right w:val="none" w:sz="0" w:space="0" w:color="auto"/>
      </w:divBdr>
    </w:div>
    <w:div w:id="1593928577">
      <w:marLeft w:val="0"/>
      <w:marRight w:val="0"/>
      <w:marTop w:val="0"/>
      <w:marBottom w:val="0"/>
      <w:divBdr>
        <w:top w:val="none" w:sz="0" w:space="0" w:color="auto"/>
        <w:left w:val="none" w:sz="0" w:space="0" w:color="auto"/>
        <w:bottom w:val="none" w:sz="0" w:space="0" w:color="auto"/>
        <w:right w:val="none" w:sz="0" w:space="0" w:color="auto"/>
      </w:divBdr>
    </w:div>
    <w:div w:id="1593928578">
      <w:marLeft w:val="0"/>
      <w:marRight w:val="0"/>
      <w:marTop w:val="0"/>
      <w:marBottom w:val="0"/>
      <w:divBdr>
        <w:top w:val="none" w:sz="0" w:space="0" w:color="auto"/>
        <w:left w:val="none" w:sz="0" w:space="0" w:color="auto"/>
        <w:bottom w:val="none" w:sz="0" w:space="0" w:color="auto"/>
        <w:right w:val="none" w:sz="0" w:space="0" w:color="auto"/>
      </w:divBdr>
    </w:div>
    <w:div w:id="1593928579">
      <w:marLeft w:val="0"/>
      <w:marRight w:val="0"/>
      <w:marTop w:val="0"/>
      <w:marBottom w:val="0"/>
      <w:divBdr>
        <w:top w:val="none" w:sz="0" w:space="0" w:color="auto"/>
        <w:left w:val="none" w:sz="0" w:space="0" w:color="auto"/>
        <w:bottom w:val="none" w:sz="0" w:space="0" w:color="auto"/>
        <w:right w:val="none" w:sz="0" w:space="0" w:color="auto"/>
      </w:divBdr>
    </w:div>
    <w:div w:id="1593928580">
      <w:marLeft w:val="0"/>
      <w:marRight w:val="0"/>
      <w:marTop w:val="0"/>
      <w:marBottom w:val="0"/>
      <w:divBdr>
        <w:top w:val="none" w:sz="0" w:space="0" w:color="auto"/>
        <w:left w:val="none" w:sz="0" w:space="0" w:color="auto"/>
        <w:bottom w:val="none" w:sz="0" w:space="0" w:color="auto"/>
        <w:right w:val="none" w:sz="0" w:space="0" w:color="auto"/>
      </w:divBdr>
    </w:div>
    <w:div w:id="1593928581">
      <w:marLeft w:val="0"/>
      <w:marRight w:val="0"/>
      <w:marTop w:val="0"/>
      <w:marBottom w:val="0"/>
      <w:divBdr>
        <w:top w:val="none" w:sz="0" w:space="0" w:color="auto"/>
        <w:left w:val="none" w:sz="0" w:space="0" w:color="auto"/>
        <w:bottom w:val="none" w:sz="0" w:space="0" w:color="auto"/>
        <w:right w:val="none" w:sz="0" w:space="0" w:color="auto"/>
      </w:divBdr>
    </w:div>
    <w:div w:id="1593928582">
      <w:marLeft w:val="0"/>
      <w:marRight w:val="0"/>
      <w:marTop w:val="0"/>
      <w:marBottom w:val="0"/>
      <w:divBdr>
        <w:top w:val="none" w:sz="0" w:space="0" w:color="auto"/>
        <w:left w:val="none" w:sz="0" w:space="0" w:color="auto"/>
        <w:bottom w:val="none" w:sz="0" w:space="0" w:color="auto"/>
        <w:right w:val="none" w:sz="0" w:space="0" w:color="auto"/>
      </w:divBdr>
    </w:div>
    <w:div w:id="1593928583">
      <w:marLeft w:val="0"/>
      <w:marRight w:val="0"/>
      <w:marTop w:val="0"/>
      <w:marBottom w:val="0"/>
      <w:divBdr>
        <w:top w:val="none" w:sz="0" w:space="0" w:color="auto"/>
        <w:left w:val="none" w:sz="0" w:space="0" w:color="auto"/>
        <w:bottom w:val="none" w:sz="0" w:space="0" w:color="auto"/>
        <w:right w:val="none" w:sz="0" w:space="0" w:color="auto"/>
      </w:divBdr>
    </w:div>
    <w:div w:id="1593928584">
      <w:marLeft w:val="0"/>
      <w:marRight w:val="0"/>
      <w:marTop w:val="0"/>
      <w:marBottom w:val="0"/>
      <w:divBdr>
        <w:top w:val="none" w:sz="0" w:space="0" w:color="auto"/>
        <w:left w:val="none" w:sz="0" w:space="0" w:color="auto"/>
        <w:bottom w:val="none" w:sz="0" w:space="0" w:color="auto"/>
        <w:right w:val="none" w:sz="0" w:space="0" w:color="auto"/>
      </w:divBdr>
    </w:div>
    <w:div w:id="1593928585">
      <w:marLeft w:val="0"/>
      <w:marRight w:val="0"/>
      <w:marTop w:val="0"/>
      <w:marBottom w:val="0"/>
      <w:divBdr>
        <w:top w:val="none" w:sz="0" w:space="0" w:color="auto"/>
        <w:left w:val="none" w:sz="0" w:space="0" w:color="auto"/>
        <w:bottom w:val="none" w:sz="0" w:space="0" w:color="auto"/>
        <w:right w:val="none" w:sz="0" w:space="0" w:color="auto"/>
      </w:divBdr>
    </w:div>
    <w:div w:id="1593928586">
      <w:marLeft w:val="0"/>
      <w:marRight w:val="0"/>
      <w:marTop w:val="0"/>
      <w:marBottom w:val="0"/>
      <w:divBdr>
        <w:top w:val="none" w:sz="0" w:space="0" w:color="auto"/>
        <w:left w:val="none" w:sz="0" w:space="0" w:color="auto"/>
        <w:bottom w:val="none" w:sz="0" w:space="0" w:color="auto"/>
        <w:right w:val="none" w:sz="0" w:space="0" w:color="auto"/>
      </w:divBdr>
    </w:div>
    <w:div w:id="1593928587">
      <w:marLeft w:val="0"/>
      <w:marRight w:val="0"/>
      <w:marTop w:val="0"/>
      <w:marBottom w:val="0"/>
      <w:divBdr>
        <w:top w:val="none" w:sz="0" w:space="0" w:color="auto"/>
        <w:left w:val="none" w:sz="0" w:space="0" w:color="auto"/>
        <w:bottom w:val="none" w:sz="0" w:space="0" w:color="auto"/>
        <w:right w:val="none" w:sz="0" w:space="0" w:color="auto"/>
      </w:divBdr>
    </w:div>
    <w:div w:id="1593928588">
      <w:marLeft w:val="0"/>
      <w:marRight w:val="0"/>
      <w:marTop w:val="0"/>
      <w:marBottom w:val="0"/>
      <w:divBdr>
        <w:top w:val="none" w:sz="0" w:space="0" w:color="auto"/>
        <w:left w:val="none" w:sz="0" w:space="0" w:color="auto"/>
        <w:bottom w:val="none" w:sz="0" w:space="0" w:color="auto"/>
        <w:right w:val="none" w:sz="0" w:space="0" w:color="auto"/>
      </w:divBdr>
    </w:div>
    <w:div w:id="1593928589">
      <w:marLeft w:val="0"/>
      <w:marRight w:val="0"/>
      <w:marTop w:val="0"/>
      <w:marBottom w:val="0"/>
      <w:divBdr>
        <w:top w:val="none" w:sz="0" w:space="0" w:color="auto"/>
        <w:left w:val="none" w:sz="0" w:space="0" w:color="auto"/>
        <w:bottom w:val="none" w:sz="0" w:space="0" w:color="auto"/>
        <w:right w:val="none" w:sz="0" w:space="0" w:color="auto"/>
      </w:divBdr>
    </w:div>
    <w:div w:id="1593928590">
      <w:marLeft w:val="0"/>
      <w:marRight w:val="0"/>
      <w:marTop w:val="0"/>
      <w:marBottom w:val="0"/>
      <w:divBdr>
        <w:top w:val="none" w:sz="0" w:space="0" w:color="auto"/>
        <w:left w:val="none" w:sz="0" w:space="0" w:color="auto"/>
        <w:bottom w:val="none" w:sz="0" w:space="0" w:color="auto"/>
        <w:right w:val="none" w:sz="0" w:space="0" w:color="auto"/>
      </w:divBdr>
    </w:div>
    <w:div w:id="1593928591">
      <w:marLeft w:val="0"/>
      <w:marRight w:val="0"/>
      <w:marTop w:val="0"/>
      <w:marBottom w:val="0"/>
      <w:divBdr>
        <w:top w:val="none" w:sz="0" w:space="0" w:color="auto"/>
        <w:left w:val="none" w:sz="0" w:space="0" w:color="auto"/>
        <w:bottom w:val="none" w:sz="0" w:space="0" w:color="auto"/>
        <w:right w:val="none" w:sz="0" w:space="0" w:color="auto"/>
      </w:divBdr>
    </w:div>
    <w:div w:id="1593928592">
      <w:marLeft w:val="0"/>
      <w:marRight w:val="0"/>
      <w:marTop w:val="0"/>
      <w:marBottom w:val="0"/>
      <w:divBdr>
        <w:top w:val="none" w:sz="0" w:space="0" w:color="auto"/>
        <w:left w:val="none" w:sz="0" w:space="0" w:color="auto"/>
        <w:bottom w:val="none" w:sz="0" w:space="0" w:color="auto"/>
        <w:right w:val="none" w:sz="0" w:space="0" w:color="auto"/>
      </w:divBdr>
    </w:div>
    <w:div w:id="1593928593">
      <w:marLeft w:val="0"/>
      <w:marRight w:val="0"/>
      <w:marTop w:val="0"/>
      <w:marBottom w:val="0"/>
      <w:divBdr>
        <w:top w:val="none" w:sz="0" w:space="0" w:color="auto"/>
        <w:left w:val="none" w:sz="0" w:space="0" w:color="auto"/>
        <w:bottom w:val="none" w:sz="0" w:space="0" w:color="auto"/>
        <w:right w:val="none" w:sz="0" w:space="0" w:color="auto"/>
      </w:divBdr>
    </w:div>
    <w:div w:id="1593928594">
      <w:marLeft w:val="0"/>
      <w:marRight w:val="0"/>
      <w:marTop w:val="0"/>
      <w:marBottom w:val="0"/>
      <w:divBdr>
        <w:top w:val="none" w:sz="0" w:space="0" w:color="auto"/>
        <w:left w:val="none" w:sz="0" w:space="0" w:color="auto"/>
        <w:bottom w:val="none" w:sz="0" w:space="0" w:color="auto"/>
        <w:right w:val="none" w:sz="0" w:space="0" w:color="auto"/>
      </w:divBdr>
    </w:div>
    <w:div w:id="1593928595">
      <w:marLeft w:val="0"/>
      <w:marRight w:val="0"/>
      <w:marTop w:val="0"/>
      <w:marBottom w:val="0"/>
      <w:divBdr>
        <w:top w:val="none" w:sz="0" w:space="0" w:color="auto"/>
        <w:left w:val="none" w:sz="0" w:space="0" w:color="auto"/>
        <w:bottom w:val="none" w:sz="0" w:space="0" w:color="auto"/>
        <w:right w:val="none" w:sz="0" w:space="0" w:color="auto"/>
      </w:divBdr>
    </w:div>
    <w:div w:id="1593928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9</Pages>
  <Words>3062</Words>
  <Characters>17460</Characters>
  <Application>Microsoft Office Outlook</Application>
  <DocSecurity>0</DocSecurity>
  <Lines>0</Lines>
  <Paragraphs>0</Paragraphs>
  <ScaleCrop>false</ScaleCrop>
  <Company>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Leon</dc:creator>
  <cp:keywords/>
  <dc:description>In order for the template to work properly you must save it to: C:\documents and settings\user\application data\microsoft\templates. Then click from FILE...New. Click on General Templates and the Agenda Request shoul dbe there to create a </dc:description>
  <cp:lastModifiedBy>jwelch</cp:lastModifiedBy>
  <cp:revision>4</cp:revision>
  <cp:lastPrinted>2011-08-04T16:42:00Z</cp:lastPrinted>
  <dcterms:created xsi:type="dcterms:W3CDTF">2011-08-04T16:15:00Z</dcterms:created>
  <dcterms:modified xsi:type="dcterms:W3CDTF">2011-08-04T18:24:00Z</dcterms:modified>
</cp:coreProperties>
</file>