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82" w:rsidRDefault="00D66982">
      <w:pPr>
        <w:jc w:val="center"/>
        <w:rPr>
          <w:b/>
          <w:sz w:val="36"/>
        </w:rPr>
      </w:pPr>
      <w:r>
        <w:rPr>
          <w:b/>
          <w:sz w:val="36"/>
        </w:rPr>
        <w:t xml:space="preserve">Board of </w:t>
      </w:r>
      <w:smartTag w:uri="urn:schemas-microsoft-com:office:smarttags" w:element="place">
        <w:smartTag w:uri="urn:schemas-microsoft-com:office:smarttags" w:element="PlaceType">
          <w:r>
            <w:rPr>
              <w:b/>
              <w:sz w:val="36"/>
            </w:rPr>
            <w:t>County</w:t>
          </w:r>
        </w:smartTag>
        <w:r>
          <w:rPr>
            <w:b/>
            <w:sz w:val="36"/>
          </w:rPr>
          <w:t xml:space="preserve"> </w:t>
        </w:r>
        <w:smartTag w:uri="urn:schemas-microsoft-com:office:smarttags" w:element="PlaceName">
          <w:r>
            <w:rPr>
              <w:b/>
              <w:sz w:val="36"/>
            </w:rPr>
            <w:t>Commissioners</w:t>
          </w:r>
        </w:smartTag>
      </w:smartTag>
    </w:p>
    <w:p w:rsidR="00D66982" w:rsidRDefault="004B6394">
      <w:pPr>
        <w:jc w:val="center"/>
      </w:pPr>
      <w:r>
        <w:rPr>
          <w:b/>
          <w:sz w:val="28"/>
        </w:rPr>
        <w:t>Workshop</w:t>
      </w:r>
    </w:p>
    <w:p w:rsidR="00D66982" w:rsidRDefault="00D66982"/>
    <w:tbl>
      <w:tblPr>
        <w:tblW w:w="9360" w:type="dxa"/>
        <w:tblInd w:w="120" w:type="dxa"/>
        <w:tblLayout w:type="fixed"/>
        <w:tblCellMar>
          <w:left w:w="29" w:type="dxa"/>
          <w:right w:w="29" w:type="dxa"/>
        </w:tblCellMar>
        <w:tblLook w:val="0000" w:firstRow="0" w:lastRow="0" w:firstColumn="0" w:lastColumn="0" w:noHBand="0" w:noVBand="0"/>
      </w:tblPr>
      <w:tblGrid>
        <w:gridCol w:w="1979"/>
        <w:gridCol w:w="7381"/>
      </w:tblGrid>
      <w:tr w:rsidR="00D66982" w:rsidRPr="00B10A95" w:rsidTr="001075E9">
        <w:trPr>
          <w:trHeight w:val="432"/>
        </w:trPr>
        <w:tc>
          <w:tcPr>
            <w:tcW w:w="1979" w:type="dxa"/>
          </w:tcPr>
          <w:p w:rsidR="00D66982" w:rsidRPr="00B10A95" w:rsidRDefault="00D66982">
            <w:pPr>
              <w:spacing w:after="58"/>
              <w:rPr>
                <w:szCs w:val="24"/>
              </w:rPr>
            </w:pPr>
            <w:r w:rsidRPr="00B10A95">
              <w:rPr>
                <w:szCs w:val="24"/>
              </w:rPr>
              <w:t>Date of Meeting:</w:t>
            </w:r>
          </w:p>
        </w:tc>
        <w:tc>
          <w:tcPr>
            <w:tcW w:w="7381" w:type="dxa"/>
          </w:tcPr>
          <w:p w:rsidR="00D66982" w:rsidRPr="00B10A95" w:rsidRDefault="00B220B3" w:rsidP="00C92773">
            <w:pPr>
              <w:spacing w:after="58"/>
              <w:rPr>
                <w:szCs w:val="24"/>
              </w:rPr>
            </w:pPr>
            <w:r w:rsidRPr="00B10A95">
              <w:rPr>
                <w:szCs w:val="24"/>
              </w:rPr>
              <w:t xml:space="preserve">August </w:t>
            </w:r>
            <w:r w:rsidR="00C92773">
              <w:rPr>
                <w:szCs w:val="24"/>
              </w:rPr>
              <w:t>3</w:t>
            </w:r>
            <w:r w:rsidR="00B936F8" w:rsidRPr="00B10A95">
              <w:rPr>
                <w:szCs w:val="24"/>
              </w:rPr>
              <w:t>, 20</w:t>
            </w:r>
            <w:r w:rsidR="006E5F54" w:rsidRPr="00B10A95">
              <w:rPr>
                <w:szCs w:val="24"/>
              </w:rPr>
              <w:t>1</w:t>
            </w:r>
            <w:r w:rsidR="00C92773">
              <w:rPr>
                <w:szCs w:val="24"/>
              </w:rPr>
              <w:t>5</w:t>
            </w:r>
          </w:p>
        </w:tc>
      </w:tr>
      <w:tr w:rsidR="00D66982" w:rsidRPr="00B10A95" w:rsidTr="001075E9">
        <w:trPr>
          <w:trHeight w:hRule="exact" w:val="187"/>
        </w:trPr>
        <w:tc>
          <w:tcPr>
            <w:tcW w:w="1979" w:type="dxa"/>
          </w:tcPr>
          <w:p w:rsidR="00D66982" w:rsidRPr="00B10A95" w:rsidRDefault="00D66982">
            <w:pPr>
              <w:spacing w:line="120" w:lineRule="exact"/>
              <w:rPr>
                <w:szCs w:val="24"/>
              </w:rPr>
            </w:pPr>
          </w:p>
        </w:tc>
        <w:tc>
          <w:tcPr>
            <w:tcW w:w="7381" w:type="dxa"/>
          </w:tcPr>
          <w:p w:rsidR="00D66982" w:rsidRPr="00B10A95" w:rsidRDefault="00D66982">
            <w:pPr>
              <w:spacing w:after="58"/>
              <w:rPr>
                <w:szCs w:val="24"/>
              </w:rPr>
            </w:pPr>
          </w:p>
        </w:tc>
      </w:tr>
      <w:tr w:rsidR="00D66982" w:rsidRPr="00B10A95" w:rsidTr="001075E9">
        <w:trPr>
          <w:trHeight w:val="432"/>
        </w:trPr>
        <w:tc>
          <w:tcPr>
            <w:tcW w:w="1979" w:type="dxa"/>
          </w:tcPr>
          <w:p w:rsidR="00D66982" w:rsidRPr="00B10A95" w:rsidRDefault="00D66982">
            <w:pPr>
              <w:spacing w:after="58"/>
              <w:rPr>
                <w:szCs w:val="24"/>
              </w:rPr>
            </w:pPr>
            <w:r w:rsidRPr="00B10A95">
              <w:rPr>
                <w:szCs w:val="24"/>
              </w:rPr>
              <w:t>Date Submitted:</w:t>
            </w:r>
          </w:p>
        </w:tc>
        <w:tc>
          <w:tcPr>
            <w:tcW w:w="7381" w:type="dxa"/>
          </w:tcPr>
          <w:p w:rsidR="00D66982" w:rsidRPr="00B10A95" w:rsidRDefault="00B220B3" w:rsidP="00C92773">
            <w:pPr>
              <w:spacing w:after="58"/>
              <w:rPr>
                <w:szCs w:val="24"/>
              </w:rPr>
            </w:pPr>
            <w:r w:rsidRPr="00B10A95">
              <w:rPr>
                <w:szCs w:val="24"/>
              </w:rPr>
              <w:t xml:space="preserve">July </w:t>
            </w:r>
            <w:r w:rsidR="00C92773">
              <w:rPr>
                <w:szCs w:val="24"/>
              </w:rPr>
              <w:t>23</w:t>
            </w:r>
            <w:r w:rsidR="00887AFD" w:rsidRPr="00B10A95">
              <w:rPr>
                <w:szCs w:val="24"/>
              </w:rPr>
              <w:t xml:space="preserve">, </w:t>
            </w:r>
            <w:r w:rsidR="00B936F8" w:rsidRPr="00B10A95">
              <w:rPr>
                <w:szCs w:val="24"/>
              </w:rPr>
              <w:t>20</w:t>
            </w:r>
            <w:r w:rsidR="006E5F54" w:rsidRPr="00B10A95">
              <w:rPr>
                <w:szCs w:val="24"/>
              </w:rPr>
              <w:t>1</w:t>
            </w:r>
            <w:r w:rsidR="00C92773">
              <w:rPr>
                <w:szCs w:val="24"/>
              </w:rPr>
              <w:t>5</w:t>
            </w:r>
          </w:p>
        </w:tc>
      </w:tr>
      <w:tr w:rsidR="00D66982" w:rsidRPr="00B10A95" w:rsidTr="001075E9">
        <w:trPr>
          <w:trHeight w:hRule="exact" w:val="189"/>
        </w:trPr>
        <w:tc>
          <w:tcPr>
            <w:tcW w:w="1979" w:type="dxa"/>
          </w:tcPr>
          <w:p w:rsidR="00D66982" w:rsidRPr="00B10A95" w:rsidRDefault="00D66982">
            <w:pPr>
              <w:spacing w:line="120" w:lineRule="exact"/>
              <w:rPr>
                <w:szCs w:val="24"/>
              </w:rPr>
            </w:pPr>
          </w:p>
        </w:tc>
        <w:tc>
          <w:tcPr>
            <w:tcW w:w="7381" w:type="dxa"/>
          </w:tcPr>
          <w:p w:rsidR="00D66982" w:rsidRPr="00B10A95" w:rsidRDefault="00D66982">
            <w:pPr>
              <w:spacing w:line="120" w:lineRule="exact"/>
              <w:rPr>
                <w:szCs w:val="24"/>
              </w:rPr>
            </w:pPr>
          </w:p>
        </w:tc>
      </w:tr>
      <w:tr w:rsidR="00D66982" w:rsidRPr="00B10A95" w:rsidTr="001075E9">
        <w:trPr>
          <w:trHeight w:val="432"/>
        </w:trPr>
        <w:tc>
          <w:tcPr>
            <w:tcW w:w="1979" w:type="dxa"/>
          </w:tcPr>
          <w:p w:rsidR="00D66982" w:rsidRPr="00B10A95" w:rsidRDefault="00D66982">
            <w:pPr>
              <w:tabs>
                <w:tab w:val="left" w:pos="-1440"/>
              </w:tabs>
              <w:spacing w:after="58"/>
              <w:rPr>
                <w:szCs w:val="24"/>
              </w:rPr>
            </w:pPr>
            <w:r w:rsidRPr="00B10A95">
              <w:rPr>
                <w:szCs w:val="24"/>
              </w:rPr>
              <w:t>To:</w:t>
            </w:r>
            <w:r w:rsidRPr="00B10A95">
              <w:rPr>
                <w:szCs w:val="24"/>
              </w:rPr>
              <w:tab/>
            </w:r>
          </w:p>
        </w:tc>
        <w:tc>
          <w:tcPr>
            <w:tcW w:w="7381" w:type="dxa"/>
          </w:tcPr>
          <w:p w:rsidR="00D66982" w:rsidRPr="00B10A95" w:rsidRDefault="00D66982">
            <w:pPr>
              <w:spacing w:after="58"/>
              <w:rPr>
                <w:szCs w:val="24"/>
              </w:rPr>
            </w:pPr>
            <w:r w:rsidRPr="00B10A95">
              <w:rPr>
                <w:szCs w:val="24"/>
              </w:rPr>
              <w:t>Honorable Chairman and Members of the Board</w:t>
            </w:r>
          </w:p>
        </w:tc>
      </w:tr>
      <w:tr w:rsidR="00D66982" w:rsidRPr="00B10A95" w:rsidTr="001075E9">
        <w:trPr>
          <w:trHeight w:hRule="exact" w:val="198"/>
        </w:trPr>
        <w:tc>
          <w:tcPr>
            <w:tcW w:w="1979" w:type="dxa"/>
          </w:tcPr>
          <w:p w:rsidR="00D66982" w:rsidRPr="00B10A95" w:rsidRDefault="00D66982">
            <w:pPr>
              <w:tabs>
                <w:tab w:val="left" w:pos="-1440"/>
              </w:tabs>
              <w:spacing w:after="58"/>
              <w:ind w:left="720" w:hanging="720"/>
              <w:rPr>
                <w:szCs w:val="24"/>
              </w:rPr>
            </w:pPr>
          </w:p>
        </w:tc>
        <w:tc>
          <w:tcPr>
            <w:tcW w:w="7381" w:type="dxa"/>
          </w:tcPr>
          <w:p w:rsidR="00D66982" w:rsidRPr="00B10A95" w:rsidRDefault="00D66982">
            <w:pPr>
              <w:spacing w:after="58"/>
              <w:rPr>
                <w:szCs w:val="24"/>
              </w:rPr>
            </w:pPr>
          </w:p>
        </w:tc>
      </w:tr>
      <w:tr w:rsidR="00D66982" w:rsidRPr="00B10A95" w:rsidTr="001075E9">
        <w:trPr>
          <w:trHeight w:val="423"/>
        </w:trPr>
        <w:tc>
          <w:tcPr>
            <w:tcW w:w="1979" w:type="dxa"/>
          </w:tcPr>
          <w:p w:rsidR="00D66982" w:rsidRPr="00B10A95" w:rsidRDefault="00D66982">
            <w:pPr>
              <w:tabs>
                <w:tab w:val="left" w:pos="-1440"/>
              </w:tabs>
              <w:spacing w:after="58"/>
              <w:ind w:left="720" w:hanging="720"/>
              <w:rPr>
                <w:szCs w:val="24"/>
              </w:rPr>
            </w:pPr>
            <w:r w:rsidRPr="00B10A95">
              <w:rPr>
                <w:szCs w:val="24"/>
              </w:rPr>
              <w:t xml:space="preserve">From: </w:t>
            </w:r>
            <w:r w:rsidRPr="00B10A95">
              <w:rPr>
                <w:szCs w:val="24"/>
              </w:rPr>
              <w:tab/>
            </w:r>
          </w:p>
        </w:tc>
        <w:tc>
          <w:tcPr>
            <w:tcW w:w="7381" w:type="dxa"/>
          </w:tcPr>
          <w:p w:rsidR="00946013" w:rsidRPr="00B10A95" w:rsidRDefault="00946013">
            <w:pPr>
              <w:spacing w:after="58"/>
              <w:rPr>
                <w:szCs w:val="24"/>
              </w:rPr>
            </w:pPr>
            <w:r w:rsidRPr="00B10A95">
              <w:rPr>
                <w:szCs w:val="24"/>
              </w:rPr>
              <w:t>J. David Edwards, County Administrator</w:t>
            </w:r>
          </w:p>
          <w:p w:rsidR="001F286A" w:rsidRPr="00B10A95" w:rsidRDefault="00E74ACC">
            <w:pPr>
              <w:spacing w:after="58"/>
              <w:rPr>
                <w:szCs w:val="24"/>
              </w:rPr>
            </w:pPr>
            <w:r w:rsidRPr="00B10A95">
              <w:rPr>
                <w:szCs w:val="24"/>
              </w:rPr>
              <w:t>Greg James, Finance Director</w:t>
            </w:r>
          </w:p>
          <w:p w:rsidR="00D66982" w:rsidRPr="00B10A95" w:rsidRDefault="00E74ACC" w:rsidP="00C92773">
            <w:pPr>
              <w:spacing w:after="58"/>
              <w:rPr>
                <w:szCs w:val="24"/>
              </w:rPr>
            </w:pPr>
            <w:r w:rsidRPr="00B10A95">
              <w:rPr>
                <w:szCs w:val="24"/>
              </w:rPr>
              <w:t xml:space="preserve">Brandy </w:t>
            </w:r>
            <w:r w:rsidR="00C92773">
              <w:rPr>
                <w:szCs w:val="24"/>
              </w:rPr>
              <w:t>King</w:t>
            </w:r>
            <w:r w:rsidR="00670777" w:rsidRPr="00B10A95">
              <w:rPr>
                <w:szCs w:val="24"/>
              </w:rPr>
              <w:t>,</w:t>
            </w:r>
            <w:r w:rsidRPr="00B10A95">
              <w:rPr>
                <w:szCs w:val="24"/>
              </w:rPr>
              <w:t xml:space="preserve"> </w:t>
            </w:r>
            <w:r w:rsidR="00EA4E31" w:rsidRPr="00B10A95">
              <w:rPr>
                <w:szCs w:val="24"/>
              </w:rPr>
              <w:t>Budget Coo</w:t>
            </w:r>
            <w:r w:rsidR="00E765F5" w:rsidRPr="00B10A95">
              <w:rPr>
                <w:szCs w:val="24"/>
              </w:rPr>
              <w:t>rdinator</w:t>
            </w:r>
            <w:r w:rsidR="0029457A" w:rsidRPr="00B10A95">
              <w:rPr>
                <w:szCs w:val="24"/>
              </w:rPr>
              <w:fldChar w:fldCharType="begin"/>
            </w:r>
            <w:r w:rsidR="00D66982" w:rsidRPr="00B10A95">
              <w:rPr>
                <w:szCs w:val="24"/>
              </w:rPr>
              <w:instrText xml:space="preserve"> FILLIN  "Type Department/Group Director's Name and Title"  \* MERGEFORMAT </w:instrText>
            </w:r>
            <w:r w:rsidR="0029457A" w:rsidRPr="00B10A95">
              <w:rPr>
                <w:szCs w:val="24"/>
              </w:rPr>
              <w:fldChar w:fldCharType="end"/>
            </w:r>
          </w:p>
        </w:tc>
      </w:tr>
      <w:tr w:rsidR="00D66982" w:rsidRPr="00B10A95" w:rsidTr="001075E9">
        <w:trPr>
          <w:trHeight w:hRule="exact" w:val="187"/>
        </w:trPr>
        <w:tc>
          <w:tcPr>
            <w:tcW w:w="1979" w:type="dxa"/>
          </w:tcPr>
          <w:p w:rsidR="00D66982" w:rsidRPr="00B10A95" w:rsidRDefault="00D66982">
            <w:pPr>
              <w:spacing w:after="58"/>
              <w:rPr>
                <w:szCs w:val="24"/>
              </w:rPr>
            </w:pPr>
          </w:p>
        </w:tc>
        <w:tc>
          <w:tcPr>
            <w:tcW w:w="7381" w:type="dxa"/>
          </w:tcPr>
          <w:p w:rsidR="00D66982" w:rsidRPr="00B10A95" w:rsidRDefault="00D66982">
            <w:pPr>
              <w:spacing w:after="58"/>
              <w:rPr>
                <w:szCs w:val="24"/>
              </w:rPr>
            </w:pPr>
          </w:p>
        </w:tc>
      </w:tr>
      <w:tr w:rsidR="00D66982" w:rsidRPr="00B10A95" w:rsidTr="001075E9">
        <w:trPr>
          <w:trHeight w:val="432"/>
        </w:trPr>
        <w:tc>
          <w:tcPr>
            <w:tcW w:w="1979" w:type="dxa"/>
            <w:tcBorders>
              <w:bottom w:val="single" w:sz="4" w:space="0" w:color="auto"/>
            </w:tcBorders>
          </w:tcPr>
          <w:p w:rsidR="00D66982" w:rsidRPr="00B10A95" w:rsidRDefault="00D66982">
            <w:pPr>
              <w:spacing w:after="58"/>
              <w:rPr>
                <w:szCs w:val="24"/>
              </w:rPr>
            </w:pPr>
            <w:r w:rsidRPr="00B10A95">
              <w:rPr>
                <w:szCs w:val="24"/>
              </w:rPr>
              <w:t>Subject:</w:t>
            </w:r>
          </w:p>
        </w:tc>
        <w:tc>
          <w:tcPr>
            <w:tcW w:w="7381" w:type="dxa"/>
            <w:tcBorders>
              <w:bottom w:val="single" w:sz="4" w:space="0" w:color="auto"/>
            </w:tcBorders>
          </w:tcPr>
          <w:p w:rsidR="00D66982" w:rsidRPr="00B10A95" w:rsidRDefault="004B6394" w:rsidP="004B6394">
            <w:pPr>
              <w:widowControl/>
              <w:jc w:val="both"/>
              <w:rPr>
                <w:snapToGrid/>
                <w:szCs w:val="24"/>
              </w:rPr>
            </w:pPr>
            <w:r>
              <w:rPr>
                <w:szCs w:val="24"/>
              </w:rPr>
              <w:t>3</w:t>
            </w:r>
            <w:r w:rsidRPr="004B6394">
              <w:rPr>
                <w:szCs w:val="24"/>
                <w:vertAlign w:val="superscript"/>
              </w:rPr>
              <w:t>rd</w:t>
            </w:r>
            <w:r>
              <w:rPr>
                <w:szCs w:val="24"/>
              </w:rPr>
              <w:t xml:space="preserve"> FY2015/2016 </w:t>
            </w:r>
            <w:r w:rsidR="00B936F8" w:rsidRPr="00B10A95">
              <w:rPr>
                <w:szCs w:val="24"/>
              </w:rPr>
              <w:t xml:space="preserve">Budget </w:t>
            </w:r>
            <w:r w:rsidR="004B5157" w:rsidRPr="00B10A95">
              <w:rPr>
                <w:szCs w:val="24"/>
              </w:rPr>
              <w:t xml:space="preserve">Development </w:t>
            </w:r>
            <w:r>
              <w:rPr>
                <w:szCs w:val="24"/>
              </w:rPr>
              <w:t>Workshop</w:t>
            </w:r>
          </w:p>
        </w:tc>
      </w:tr>
    </w:tbl>
    <w:p w:rsidR="00D66982" w:rsidRPr="00B10A95" w:rsidRDefault="00D66982">
      <w:pPr>
        <w:jc w:val="both"/>
        <w:rPr>
          <w:szCs w:val="24"/>
        </w:rPr>
        <w:sectPr w:rsidR="00D66982" w:rsidRPr="00B10A95" w:rsidSect="004B6394">
          <w:headerReference w:type="default" r:id="rId8"/>
          <w:endnotePr>
            <w:numFmt w:val="decimal"/>
          </w:endnotePr>
          <w:pgSz w:w="12240" w:h="15840"/>
          <w:pgMar w:top="1008" w:right="1440" w:bottom="1008" w:left="1440" w:header="1440" w:footer="1440" w:gutter="0"/>
          <w:cols w:space="720"/>
          <w:noEndnote/>
          <w:titlePg/>
        </w:sectPr>
      </w:pPr>
    </w:p>
    <w:p w:rsidR="004B6394" w:rsidRDefault="004B6394" w:rsidP="00DE1451">
      <w:pPr>
        <w:jc w:val="both"/>
        <w:rPr>
          <w:b/>
          <w:szCs w:val="24"/>
          <w:u w:val="single"/>
        </w:rPr>
      </w:pPr>
    </w:p>
    <w:p w:rsidR="00DE1451" w:rsidRPr="00B10A95" w:rsidRDefault="00DE1451" w:rsidP="00DE1451">
      <w:pPr>
        <w:jc w:val="both"/>
        <w:rPr>
          <w:szCs w:val="24"/>
        </w:rPr>
      </w:pPr>
      <w:r w:rsidRPr="00B10A95">
        <w:rPr>
          <w:b/>
          <w:szCs w:val="24"/>
          <w:u w:val="single"/>
        </w:rPr>
        <w:t>Statement of Issue:</w:t>
      </w:r>
    </w:p>
    <w:p w:rsidR="00DE1451" w:rsidRPr="00B10A95" w:rsidRDefault="00DE1451" w:rsidP="00DE1451">
      <w:pPr>
        <w:widowControl/>
        <w:jc w:val="both"/>
        <w:rPr>
          <w:snapToGrid/>
          <w:szCs w:val="24"/>
        </w:rPr>
      </w:pPr>
      <w:r w:rsidRPr="00B10A95">
        <w:rPr>
          <w:snapToGrid/>
          <w:szCs w:val="24"/>
        </w:rPr>
        <w:t xml:space="preserve">This </w:t>
      </w:r>
      <w:r w:rsidR="004B6394">
        <w:rPr>
          <w:snapToGrid/>
          <w:szCs w:val="24"/>
        </w:rPr>
        <w:t>is the 3</w:t>
      </w:r>
      <w:r w:rsidR="004B6394" w:rsidRPr="004B6394">
        <w:rPr>
          <w:snapToGrid/>
          <w:szCs w:val="24"/>
          <w:vertAlign w:val="superscript"/>
        </w:rPr>
        <w:t>rd</w:t>
      </w:r>
      <w:r w:rsidR="004B6394">
        <w:rPr>
          <w:snapToGrid/>
          <w:szCs w:val="24"/>
        </w:rPr>
        <w:t xml:space="preserve"> and final </w:t>
      </w:r>
      <w:r w:rsidRPr="00B10A95">
        <w:rPr>
          <w:snapToGrid/>
          <w:szCs w:val="24"/>
        </w:rPr>
        <w:t>workshop in the development of the FY201</w:t>
      </w:r>
      <w:r w:rsidR="00C92773">
        <w:rPr>
          <w:snapToGrid/>
          <w:szCs w:val="24"/>
        </w:rPr>
        <w:t>5</w:t>
      </w:r>
      <w:r w:rsidRPr="00B10A95">
        <w:rPr>
          <w:snapToGrid/>
          <w:szCs w:val="24"/>
        </w:rPr>
        <w:t>/</w:t>
      </w:r>
      <w:r w:rsidR="004011B1" w:rsidRPr="00B10A95">
        <w:rPr>
          <w:snapToGrid/>
          <w:szCs w:val="24"/>
        </w:rPr>
        <w:t>20</w:t>
      </w:r>
      <w:r w:rsidRPr="00B10A95">
        <w:rPr>
          <w:snapToGrid/>
          <w:szCs w:val="24"/>
        </w:rPr>
        <w:t>1</w:t>
      </w:r>
      <w:r w:rsidR="00C92773">
        <w:rPr>
          <w:snapToGrid/>
          <w:szCs w:val="24"/>
        </w:rPr>
        <w:t>6</w:t>
      </w:r>
      <w:r w:rsidRPr="00B10A95">
        <w:rPr>
          <w:snapToGrid/>
          <w:szCs w:val="24"/>
        </w:rPr>
        <w:t xml:space="preserve"> </w:t>
      </w:r>
      <w:r w:rsidR="006B538C" w:rsidRPr="00B10A95">
        <w:rPr>
          <w:snapToGrid/>
          <w:szCs w:val="24"/>
        </w:rPr>
        <w:t xml:space="preserve">Final </w:t>
      </w:r>
      <w:r w:rsidRPr="00B10A95">
        <w:rPr>
          <w:snapToGrid/>
          <w:szCs w:val="24"/>
        </w:rPr>
        <w:t>Budget</w:t>
      </w:r>
      <w:r w:rsidR="00E74ACC" w:rsidRPr="00B10A95">
        <w:rPr>
          <w:snapToGrid/>
          <w:szCs w:val="24"/>
        </w:rPr>
        <w:t xml:space="preserve">. </w:t>
      </w:r>
    </w:p>
    <w:p w:rsidR="00DE1451" w:rsidRPr="00B10A95" w:rsidRDefault="00DE1451" w:rsidP="00DE1451">
      <w:pPr>
        <w:jc w:val="both"/>
        <w:rPr>
          <w:szCs w:val="24"/>
        </w:rPr>
      </w:pPr>
    </w:p>
    <w:p w:rsidR="00DE1451" w:rsidRPr="00B10A95" w:rsidRDefault="00DE1451" w:rsidP="00DE1451">
      <w:pPr>
        <w:jc w:val="both"/>
        <w:rPr>
          <w:szCs w:val="24"/>
        </w:rPr>
      </w:pPr>
      <w:r w:rsidRPr="00B10A95">
        <w:rPr>
          <w:b/>
          <w:szCs w:val="24"/>
          <w:u w:val="single"/>
        </w:rPr>
        <w:t>Background:</w:t>
      </w:r>
    </w:p>
    <w:p w:rsidR="00DE1451" w:rsidRPr="00B10A95" w:rsidRDefault="00E74ACC" w:rsidP="004B6394">
      <w:pPr>
        <w:jc w:val="both"/>
        <w:rPr>
          <w:szCs w:val="24"/>
        </w:rPr>
      </w:pPr>
      <w:r w:rsidRPr="00B10A95">
        <w:rPr>
          <w:szCs w:val="24"/>
        </w:rPr>
        <w:t xml:space="preserve">On January </w:t>
      </w:r>
      <w:r w:rsidR="00C92773">
        <w:rPr>
          <w:szCs w:val="24"/>
        </w:rPr>
        <w:t>5</w:t>
      </w:r>
      <w:r w:rsidR="00DE1451" w:rsidRPr="00B10A95">
        <w:rPr>
          <w:szCs w:val="24"/>
        </w:rPr>
        <w:t>, 201</w:t>
      </w:r>
      <w:r w:rsidR="00C92773">
        <w:rPr>
          <w:szCs w:val="24"/>
        </w:rPr>
        <w:t>5</w:t>
      </w:r>
      <w:r w:rsidR="00DE1451" w:rsidRPr="00B10A95">
        <w:rPr>
          <w:szCs w:val="24"/>
        </w:rPr>
        <w:t xml:space="preserve"> the FY201</w:t>
      </w:r>
      <w:r w:rsidR="00C92773">
        <w:rPr>
          <w:szCs w:val="24"/>
        </w:rPr>
        <w:t>5</w:t>
      </w:r>
      <w:r w:rsidR="00A14A90" w:rsidRPr="00B10A95">
        <w:rPr>
          <w:szCs w:val="24"/>
        </w:rPr>
        <w:t>/</w:t>
      </w:r>
      <w:r w:rsidR="004011B1" w:rsidRPr="00B10A95">
        <w:rPr>
          <w:szCs w:val="24"/>
        </w:rPr>
        <w:t>20</w:t>
      </w:r>
      <w:r w:rsidR="00DE1451" w:rsidRPr="00B10A95">
        <w:rPr>
          <w:szCs w:val="24"/>
        </w:rPr>
        <w:t>1</w:t>
      </w:r>
      <w:r w:rsidR="00C92773">
        <w:rPr>
          <w:szCs w:val="24"/>
        </w:rPr>
        <w:t>6</w:t>
      </w:r>
      <w:r w:rsidR="00DE1451" w:rsidRPr="00B10A95">
        <w:rPr>
          <w:szCs w:val="24"/>
        </w:rPr>
        <w:t xml:space="preserve"> budget calendar was approved by the Wakulla County Board of County Commissioners.  The following background information briefly recaps the history of Board action to date for the current budget cycle.</w:t>
      </w:r>
    </w:p>
    <w:p w:rsidR="00DE1451" w:rsidRPr="00B10A95" w:rsidRDefault="00DE1451" w:rsidP="004B6394">
      <w:pPr>
        <w:jc w:val="both"/>
        <w:rPr>
          <w:i/>
          <w:szCs w:val="24"/>
          <w:u w:val="single"/>
        </w:rPr>
      </w:pPr>
    </w:p>
    <w:p w:rsidR="00E765F5" w:rsidRPr="00B10A95" w:rsidRDefault="00B220B3" w:rsidP="004B6394">
      <w:pPr>
        <w:jc w:val="both"/>
        <w:rPr>
          <w:szCs w:val="24"/>
        </w:rPr>
      </w:pPr>
      <w:r w:rsidRPr="00B10A95">
        <w:rPr>
          <w:szCs w:val="24"/>
        </w:rPr>
        <w:t>The Board has conducted two scheduled FY201</w:t>
      </w:r>
      <w:r w:rsidR="00C92773">
        <w:rPr>
          <w:szCs w:val="24"/>
        </w:rPr>
        <w:t>5</w:t>
      </w:r>
      <w:r w:rsidRPr="00B10A95">
        <w:rPr>
          <w:szCs w:val="24"/>
        </w:rPr>
        <w:t>/201</w:t>
      </w:r>
      <w:r w:rsidR="00C92773">
        <w:rPr>
          <w:szCs w:val="24"/>
        </w:rPr>
        <w:t>6</w:t>
      </w:r>
      <w:r w:rsidRPr="00B10A95">
        <w:rPr>
          <w:szCs w:val="24"/>
        </w:rPr>
        <w:t xml:space="preserve"> Budget Development Workshops, the first on</w:t>
      </w:r>
      <w:r w:rsidR="00DE1451" w:rsidRPr="00B10A95">
        <w:rPr>
          <w:szCs w:val="24"/>
        </w:rPr>
        <w:t xml:space="preserve"> March </w:t>
      </w:r>
      <w:r w:rsidR="00C92773">
        <w:rPr>
          <w:szCs w:val="24"/>
        </w:rPr>
        <w:t>9</w:t>
      </w:r>
      <w:r w:rsidR="00DE1451" w:rsidRPr="00B10A95">
        <w:rPr>
          <w:szCs w:val="24"/>
        </w:rPr>
        <w:t>, 201</w:t>
      </w:r>
      <w:r w:rsidR="00C92773">
        <w:rPr>
          <w:szCs w:val="24"/>
        </w:rPr>
        <w:t>5</w:t>
      </w:r>
      <w:r w:rsidR="00DE1451" w:rsidRPr="00B10A95">
        <w:rPr>
          <w:szCs w:val="24"/>
        </w:rPr>
        <w:t xml:space="preserve">, </w:t>
      </w:r>
      <w:r w:rsidRPr="00B10A95">
        <w:rPr>
          <w:szCs w:val="24"/>
        </w:rPr>
        <w:t xml:space="preserve">and </w:t>
      </w:r>
      <w:r w:rsidR="00DE1451" w:rsidRPr="00B10A95">
        <w:rPr>
          <w:szCs w:val="24"/>
        </w:rPr>
        <w:t xml:space="preserve">the </w:t>
      </w:r>
      <w:r w:rsidRPr="00B10A95">
        <w:rPr>
          <w:szCs w:val="24"/>
        </w:rPr>
        <w:t xml:space="preserve">second on June </w:t>
      </w:r>
      <w:r w:rsidR="00C92773">
        <w:rPr>
          <w:szCs w:val="24"/>
        </w:rPr>
        <w:t>15</w:t>
      </w:r>
      <w:r w:rsidRPr="00B10A95">
        <w:rPr>
          <w:szCs w:val="24"/>
        </w:rPr>
        <w:t>, 201</w:t>
      </w:r>
      <w:r w:rsidR="00C92773">
        <w:rPr>
          <w:szCs w:val="24"/>
        </w:rPr>
        <w:t>5</w:t>
      </w:r>
      <w:r w:rsidR="004B6394">
        <w:rPr>
          <w:szCs w:val="24"/>
        </w:rPr>
        <w:t>,</w:t>
      </w:r>
      <w:r w:rsidR="00C92773">
        <w:rPr>
          <w:szCs w:val="24"/>
        </w:rPr>
        <w:t xml:space="preserve"> and an additional workshop focused on </w:t>
      </w:r>
      <w:r w:rsidR="004B6394">
        <w:rPr>
          <w:szCs w:val="24"/>
        </w:rPr>
        <w:t>t</w:t>
      </w:r>
      <w:r w:rsidR="00C92773">
        <w:rPr>
          <w:szCs w:val="24"/>
        </w:rPr>
        <w:t xml:space="preserve">he Fire MSBU Assessment and One Cent Sales Tax </w:t>
      </w:r>
      <w:r w:rsidR="004B6394">
        <w:rPr>
          <w:szCs w:val="24"/>
        </w:rPr>
        <w:t xml:space="preserve">was held </w:t>
      </w:r>
      <w:r w:rsidR="00C92773">
        <w:rPr>
          <w:szCs w:val="24"/>
        </w:rPr>
        <w:t>on July 20, 2015</w:t>
      </w:r>
      <w:r w:rsidRPr="00B10A95">
        <w:rPr>
          <w:szCs w:val="24"/>
        </w:rPr>
        <w:t>. T</w:t>
      </w:r>
      <w:r w:rsidR="006B538C" w:rsidRPr="00B10A95">
        <w:rPr>
          <w:szCs w:val="24"/>
        </w:rPr>
        <w:t>he County Administrator has review</w:t>
      </w:r>
      <w:r w:rsidRPr="00B10A95">
        <w:rPr>
          <w:szCs w:val="24"/>
        </w:rPr>
        <w:t>ed</w:t>
      </w:r>
      <w:r w:rsidR="006B538C" w:rsidRPr="00B10A95">
        <w:rPr>
          <w:szCs w:val="24"/>
        </w:rPr>
        <w:t xml:space="preserve"> </w:t>
      </w:r>
      <w:r w:rsidRPr="00B10A95">
        <w:rPr>
          <w:szCs w:val="24"/>
        </w:rPr>
        <w:t>the</w:t>
      </w:r>
      <w:r w:rsidR="006B538C" w:rsidRPr="00B10A95">
        <w:rPr>
          <w:szCs w:val="24"/>
        </w:rPr>
        <w:t xml:space="preserve"> current fiscal year position, </w:t>
      </w:r>
      <w:r w:rsidRPr="00B10A95">
        <w:rPr>
          <w:szCs w:val="24"/>
        </w:rPr>
        <w:t>and held departmental meetings to assess the performance, revenue</w:t>
      </w:r>
      <w:r w:rsidR="00DF2252" w:rsidRPr="00B10A95">
        <w:rPr>
          <w:szCs w:val="24"/>
        </w:rPr>
        <w:t xml:space="preserve"> projections</w:t>
      </w:r>
      <w:r w:rsidRPr="00B10A95">
        <w:rPr>
          <w:szCs w:val="24"/>
        </w:rPr>
        <w:t xml:space="preserve"> and expense reque</w:t>
      </w:r>
      <w:r w:rsidR="00DF2252" w:rsidRPr="00B10A95">
        <w:rPr>
          <w:szCs w:val="24"/>
        </w:rPr>
        <w:t>sts</w:t>
      </w:r>
      <w:r w:rsidRPr="00B10A95">
        <w:rPr>
          <w:szCs w:val="24"/>
        </w:rPr>
        <w:t xml:space="preserve"> of all departments</w:t>
      </w:r>
      <w:r w:rsidR="006B538C" w:rsidRPr="00B10A95">
        <w:rPr>
          <w:szCs w:val="24"/>
        </w:rPr>
        <w:t xml:space="preserve">. </w:t>
      </w:r>
      <w:r w:rsidR="009B52DB" w:rsidRPr="00B10A95">
        <w:rPr>
          <w:szCs w:val="24"/>
        </w:rPr>
        <w:t>All revenue and expense actual totals for the current fiscal year have been updated through June 30, 201</w:t>
      </w:r>
      <w:r w:rsidR="00C92773">
        <w:rPr>
          <w:szCs w:val="24"/>
        </w:rPr>
        <w:t>5</w:t>
      </w:r>
      <w:r w:rsidR="009B52DB" w:rsidRPr="00B10A95">
        <w:rPr>
          <w:szCs w:val="24"/>
        </w:rPr>
        <w:t xml:space="preserve">. </w:t>
      </w:r>
      <w:r w:rsidR="00DF2252" w:rsidRPr="00B10A95">
        <w:rPr>
          <w:szCs w:val="24"/>
        </w:rPr>
        <w:t xml:space="preserve">General </w:t>
      </w:r>
      <w:r w:rsidR="006B538C" w:rsidRPr="00B10A95">
        <w:rPr>
          <w:szCs w:val="24"/>
        </w:rPr>
        <w:t xml:space="preserve">Revenue </w:t>
      </w:r>
      <w:r w:rsidR="00DF2252" w:rsidRPr="00B10A95">
        <w:rPr>
          <w:szCs w:val="24"/>
        </w:rPr>
        <w:t xml:space="preserve">(non-departmental) </w:t>
      </w:r>
      <w:r w:rsidR="006B538C" w:rsidRPr="00B10A95">
        <w:rPr>
          <w:szCs w:val="24"/>
        </w:rPr>
        <w:t>estimates for FY201</w:t>
      </w:r>
      <w:r w:rsidR="00C92773">
        <w:rPr>
          <w:szCs w:val="24"/>
        </w:rPr>
        <w:t>5</w:t>
      </w:r>
      <w:r w:rsidR="006B538C" w:rsidRPr="00B10A95">
        <w:rPr>
          <w:szCs w:val="24"/>
        </w:rPr>
        <w:t>/201</w:t>
      </w:r>
      <w:r w:rsidR="00C92773">
        <w:rPr>
          <w:szCs w:val="24"/>
        </w:rPr>
        <w:t>6</w:t>
      </w:r>
      <w:r w:rsidR="006B538C" w:rsidRPr="00B10A95">
        <w:rPr>
          <w:szCs w:val="24"/>
        </w:rPr>
        <w:t xml:space="preserve"> have been established </w:t>
      </w:r>
      <w:r w:rsidRPr="00B10A95">
        <w:rPr>
          <w:szCs w:val="24"/>
        </w:rPr>
        <w:t>and</w:t>
      </w:r>
      <w:r w:rsidR="006B538C" w:rsidRPr="00B10A95">
        <w:rPr>
          <w:szCs w:val="24"/>
        </w:rPr>
        <w:t xml:space="preserve"> a preliminary budget </w:t>
      </w:r>
      <w:r w:rsidRPr="00B10A95">
        <w:rPr>
          <w:szCs w:val="24"/>
        </w:rPr>
        <w:t>was</w:t>
      </w:r>
      <w:r w:rsidR="006B538C" w:rsidRPr="00B10A95">
        <w:rPr>
          <w:szCs w:val="24"/>
        </w:rPr>
        <w:t xml:space="preserve"> prepared</w:t>
      </w:r>
      <w:r w:rsidRPr="00B10A95">
        <w:rPr>
          <w:szCs w:val="24"/>
        </w:rPr>
        <w:t xml:space="preserve"> and delivered to the Board on July 1</w:t>
      </w:r>
      <w:r w:rsidR="00C92773">
        <w:rPr>
          <w:szCs w:val="24"/>
        </w:rPr>
        <w:t>6</w:t>
      </w:r>
      <w:r w:rsidRPr="00B10A95">
        <w:rPr>
          <w:szCs w:val="24"/>
        </w:rPr>
        <w:t>, 201</w:t>
      </w:r>
      <w:r w:rsidR="00C92773">
        <w:rPr>
          <w:szCs w:val="24"/>
        </w:rPr>
        <w:t>5</w:t>
      </w:r>
      <w:r w:rsidRPr="00B10A95">
        <w:rPr>
          <w:szCs w:val="24"/>
        </w:rPr>
        <w:t>.</w:t>
      </w:r>
    </w:p>
    <w:p w:rsidR="00DE1451" w:rsidRPr="00B10A95" w:rsidRDefault="00DE1451" w:rsidP="004B6394">
      <w:pPr>
        <w:jc w:val="both"/>
        <w:rPr>
          <w:b/>
          <w:szCs w:val="24"/>
          <w:u w:val="single"/>
        </w:rPr>
      </w:pPr>
    </w:p>
    <w:p w:rsidR="00DE1451" w:rsidRPr="00B10A95" w:rsidRDefault="00DE1451" w:rsidP="004B6394">
      <w:pPr>
        <w:jc w:val="both"/>
        <w:rPr>
          <w:b/>
          <w:szCs w:val="24"/>
          <w:u w:val="single"/>
        </w:rPr>
      </w:pPr>
      <w:r w:rsidRPr="00B10A95">
        <w:rPr>
          <w:b/>
          <w:szCs w:val="24"/>
          <w:u w:val="single"/>
        </w:rPr>
        <w:t>Analysis:</w:t>
      </w:r>
    </w:p>
    <w:p w:rsidR="00C92773" w:rsidRDefault="0012653B" w:rsidP="004B6394">
      <w:pPr>
        <w:jc w:val="both"/>
        <w:rPr>
          <w:szCs w:val="24"/>
        </w:rPr>
      </w:pPr>
      <w:r w:rsidRPr="00B10A95">
        <w:rPr>
          <w:szCs w:val="24"/>
        </w:rPr>
        <w:t>The primary objective of th</w:t>
      </w:r>
      <w:r w:rsidR="00DF2252" w:rsidRPr="00B10A95">
        <w:rPr>
          <w:szCs w:val="24"/>
        </w:rPr>
        <w:t>is</w:t>
      </w:r>
      <w:r w:rsidRPr="00B10A95">
        <w:rPr>
          <w:szCs w:val="24"/>
        </w:rPr>
        <w:t xml:space="preserve"> budget development workshop is to have free and open discussion with the Board and seek direction on initiatives for the FY201</w:t>
      </w:r>
      <w:r w:rsidR="00C92773">
        <w:rPr>
          <w:szCs w:val="24"/>
        </w:rPr>
        <w:t>5</w:t>
      </w:r>
      <w:r w:rsidRPr="00B10A95">
        <w:rPr>
          <w:szCs w:val="24"/>
        </w:rPr>
        <w:t>/201</w:t>
      </w:r>
      <w:r w:rsidR="00C92773">
        <w:rPr>
          <w:szCs w:val="24"/>
        </w:rPr>
        <w:t>6</w:t>
      </w:r>
      <w:r w:rsidRPr="00B10A95">
        <w:rPr>
          <w:szCs w:val="24"/>
        </w:rPr>
        <w:t xml:space="preserve"> Final Budget. The County Administrator will </w:t>
      </w:r>
      <w:r w:rsidR="00DF2252" w:rsidRPr="00B10A95">
        <w:rPr>
          <w:szCs w:val="24"/>
        </w:rPr>
        <w:t xml:space="preserve">outline </w:t>
      </w:r>
      <w:r w:rsidR="00FC1CB6">
        <w:rPr>
          <w:szCs w:val="24"/>
        </w:rPr>
        <w:t>the</w:t>
      </w:r>
      <w:r w:rsidR="00DF2252" w:rsidRPr="00B10A95">
        <w:rPr>
          <w:szCs w:val="24"/>
        </w:rPr>
        <w:t xml:space="preserve"> </w:t>
      </w:r>
      <w:r w:rsidR="00C92773">
        <w:rPr>
          <w:szCs w:val="24"/>
        </w:rPr>
        <w:t>highlights and accomplishments of</w:t>
      </w:r>
      <w:r w:rsidR="00DF2252" w:rsidRPr="00B10A95">
        <w:rPr>
          <w:szCs w:val="24"/>
        </w:rPr>
        <w:t xml:space="preserve"> the FY201</w:t>
      </w:r>
      <w:r w:rsidR="00C92773">
        <w:rPr>
          <w:szCs w:val="24"/>
        </w:rPr>
        <w:t>5</w:t>
      </w:r>
      <w:r w:rsidR="00DF2252" w:rsidRPr="00B10A95">
        <w:rPr>
          <w:szCs w:val="24"/>
        </w:rPr>
        <w:t>/201</w:t>
      </w:r>
      <w:r w:rsidR="00C92773">
        <w:rPr>
          <w:szCs w:val="24"/>
        </w:rPr>
        <w:t>6 Preliminary Budget and request input from the Board</w:t>
      </w:r>
      <w:r w:rsidR="004B6394">
        <w:rPr>
          <w:szCs w:val="24"/>
        </w:rPr>
        <w:t>.</w:t>
      </w:r>
    </w:p>
    <w:p w:rsidR="00C92773" w:rsidRDefault="00C92773" w:rsidP="004B6394">
      <w:pPr>
        <w:jc w:val="both"/>
        <w:rPr>
          <w:szCs w:val="24"/>
        </w:rPr>
      </w:pPr>
    </w:p>
    <w:p w:rsidR="004D1246" w:rsidRDefault="004D1246" w:rsidP="00C92773">
      <w:pPr>
        <w:jc w:val="both"/>
        <w:rPr>
          <w:b/>
          <w:i/>
          <w:szCs w:val="24"/>
          <w:u w:val="single"/>
        </w:rPr>
      </w:pPr>
      <w:r>
        <w:rPr>
          <w:b/>
          <w:i/>
          <w:szCs w:val="24"/>
          <w:u w:val="single"/>
        </w:rPr>
        <w:t xml:space="preserve">General Fund  </w:t>
      </w:r>
    </w:p>
    <w:p w:rsidR="00641241" w:rsidRPr="008E1E91" w:rsidRDefault="00641241" w:rsidP="004376F6">
      <w:pPr>
        <w:pStyle w:val="ListParagraph"/>
        <w:numPr>
          <w:ilvl w:val="0"/>
          <w:numId w:val="4"/>
        </w:numPr>
        <w:jc w:val="both"/>
        <w:rPr>
          <w:rFonts w:ascii="Times New Roman" w:hAnsi="Times New Roman"/>
          <w:szCs w:val="24"/>
          <w:u w:val="single"/>
        </w:rPr>
      </w:pPr>
      <w:r>
        <w:rPr>
          <w:rFonts w:ascii="Times New Roman" w:hAnsi="Times New Roman"/>
          <w:szCs w:val="24"/>
        </w:rPr>
        <w:t xml:space="preserve">Based on historical allocations to the Constitutional Officers, sets a </w:t>
      </w:r>
      <w:r w:rsidRPr="00641241">
        <w:rPr>
          <w:rFonts w:ascii="Times New Roman" w:hAnsi="Times New Roman"/>
          <w:b/>
          <w:i/>
          <w:szCs w:val="24"/>
        </w:rPr>
        <w:t>guideline</w:t>
      </w:r>
      <w:r>
        <w:rPr>
          <w:rFonts w:ascii="Times New Roman" w:hAnsi="Times New Roman"/>
          <w:szCs w:val="24"/>
        </w:rPr>
        <w:t xml:space="preserve"> percentage to be used going forward for distributing revenue increases</w:t>
      </w:r>
    </w:p>
    <w:p w:rsidR="008E1E91" w:rsidRPr="008E1E91" w:rsidRDefault="008E1E91" w:rsidP="004376F6">
      <w:pPr>
        <w:pStyle w:val="ListParagraph"/>
        <w:numPr>
          <w:ilvl w:val="0"/>
          <w:numId w:val="4"/>
        </w:numPr>
        <w:jc w:val="both"/>
        <w:rPr>
          <w:rFonts w:ascii="Times New Roman" w:hAnsi="Times New Roman"/>
          <w:szCs w:val="24"/>
          <w:u w:val="single"/>
        </w:rPr>
      </w:pPr>
      <w:r>
        <w:rPr>
          <w:rFonts w:ascii="Times New Roman" w:hAnsi="Times New Roman"/>
          <w:szCs w:val="24"/>
        </w:rPr>
        <w:lastRenderedPageBreak/>
        <w:t>Fully funds the Cost of Living Allocation (COLA) given effective April 1, 2015, assumes no COLA for fiscal year 2015/2016</w:t>
      </w:r>
    </w:p>
    <w:p w:rsidR="008E1E91" w:rsidRPr="008E1E91" w:rsidRDefault="008E1E91" w:rsidP="004376F6">
      <w:pPr>
        <w:pStyle w:val="ListParagraph"/>
        <w:numPr>
          <w:ilvl w:val="0"/>
          <w:numId w:val="4"/>
        </w:numPr>
        <w:jc w:val="both"/>
        <w:rPr>
          <w:rFonts w:ascii="Times New Roman" w:hAnsi="Times New Roman"/>
          <w:szCs w:val="24"/>
          <w:u w:val="single"/>
        </w:rPr>
      </w:pPr>
      <w:r>
        <w:rPr>
          <w:rFonts w:ascii="Times New Roman" w:hAnsi="Times New Roman"/>
          <w:szCs w:val="24"/>
        </w:rPr>
        <w:t>Fully funds the Florida Retirement System (FRS) contribution rate changes effective July 1, 2015</w:t>
      </w:r>
    </w:p>
    <w:p w:rsidR="008E1E91" w:rsidRPr="00641241" w:rsidRDefault="008E1E91" w:rsidP="004376F6">
      <w:pPr>
        <w:pStyle w:val="ListParagraph"/>
        <w:numPr>
          <w:ilvl w:val="0"/>
          <w:numId w:val="4"/>
        </w:numPr>
        <w:jc w:val="both"/>
        <w:rPr>
          <w:rFonts w:ascii="Times New Roman" w:hAnsi="Times New Roman"/>
          <w:szCs w:val="24"/>
          <w:u w:val="single"/>
        </w:rPr>
      </w:pPr>
      <w:r>
        <w:rPr>
          <w:rFonts w:ascii="Times New Roman" w:hAnsi="Times New Roman"/>
          <w:szCs w:val="24"/>
        </w:rPr>
        <w:t>Fully funds the cost of health insurance increase for Capital Health plan (CHP)</w:t>
      </w:r>
    </w:p>
    <w:p w:rsidR="004D1246" w:rsidRPr="00641241" w:rsidRDefault="00704DDD" w:rsidP="004376F6">
      <w:pPr>
        <w:pStyle w:val="ListParagraph"/>
        <w:numPr>
          <w:ilvl w:val="0"/>
          <w:numId w:val="4"/>
        </w:numPr>
        <w:jc w:val="both"/>
        <w:rPr>
          <w:rFonts w:ascii="Times New Roman" w:hAnsi="Times New Roman"/>
          <w:szCs w:val="24"/>
          <w:u w:val="single"/>
        </w:rPr>
      </w:pPr>
      <w:r w:rsidRPr="00704DDD">
        <w:rPr>
          <w:rFonts w:ascii="Times New Roman" w:hAnsi="Times New Roman"/>
          <w:szCs w:val="24"/>
        </w:rPr>
        <w:t>Adds a 12 hour shift for EMS – 2 flex employees, 12 hours per day, daylight hours (exact time schedule to be established)</w:t>
      </w:r>
    </w:p>
    <w:p w:rsidR="00641241" w:rsidRPr="00704DDD" w:rsidRDefault="00641241" w:rsidP="004376F6">
      <w:pPr>
        <w:pStyle w:val="ListParagraph"/>
        <w:numPr>
          <w:ilvl w:val="0"/>
          <w:numId w:val="4"/>
        </w:numPr>
        <w:jc w:val="both"/>
        <w:rPr>
          <w:rFonts w:ascii="Times New Roman" w:hAnsi="Times New Roman"/>
          <w:szCs w:val="24"/>
          <w:u w:val="single"/>
        </w:rPr>
      </w:pPr>
      <w:r>
        <w:rPr>
          <w:rFonts w:ascii="Times New Roman" w:hAnsi="Times New Roman"/>
          <w:szCs w:val="24"/>
        </w:rPr>
        <w:t>Institutes the Veterans Services Officer as a full time position</w:t>
      </w:r>
    </w:p>
    <w:p w:rsidR="00704DDD" w:rsidRPr="00641241" w:rsidRDefault="00641241" w:rsidP="004376F6">
      <w:pPr>
        <w:pStyle w:val="ListParagraph"/>
        <w:numPr>
          <w:ilvl w:val="0"/>
          <w:numId w:val="4"/>
        </w:numPr>
        <w:jc w:val="both"/>
        <w:rPr>
          <w:rFonts w:ascii="Times New Roman" w:hAnsi="Times New Roman"/>
          <w:szCs w:val="24"/>
          <w:u w:val="single"/>
        </w:rPr>
      </w:pPr>
      <w:r>
        <w:rPr>
          <w:rFonts w:ascii="Times New Roman" w:hAnsi="Times New Roman"/>
          <w:szCs w:val="24"/>
        </w:rPr>
        <w:t>Adds a full time administrative position to the Animal Service Department</w:t>
      </w:r>
    </w:p>
    <w:p w:rsidR="00641241" w:rsidRPr="00641241" w:rsidRDefault="00641241" w:rsidP="004376F6">
      <w:pPr>
        <w:pStyle w:val="ListParagraph"/>
        <w:numPr>
          <w:ilvl w:val="0"/>
          <w:numId w:val="4"/>
        </w:numPr>
        <w:jc w:val="both"/>
        <w:rPr>
          <w:rFonts w:ascii="Times New Roman" w:hAnsi="Times New Roman"/>
          <w:szCs w:val="24"/>
          <w:u w:val="single"/>
        </w:rPr>
      </w:pPr>
      <w:r>
        <w:rPr>
          <w:rFonts w:ascii="Times New Roman" w:hAnsi="Times New Roman"/>
          <w:szCs w:val="24"/>
        </w:rPr>
        <w:t>Adds a full time position for maintenance of the Community Center. This additional position is offset by an increase in revenue of $58,400 over the current fiscal year</w:t>
      </w:r>
    </w:p>
    <w:p w:rsidR="00641241" w:rsidRPr="00641241" w:rsidRDefault="00641241" w:rsidP="004376F6">
      <w:pPr>
        <w:pStyle w:val="ListParagraph"/>
        <w:numPr>
          <w:ilvl w:val="0"/>
          <w:numId w:val="4"/>
        </w:numPr>
        <w:jc w:val="both"/>
        <w:rPr>
          <w:rFonts w:ascii="Times New Roman" w:hAnsi="Times New Roman"/>
          <w:szCs w:val="24"/>
          <w:u w:val="single"/>
        </w:rPr>
      </w:pPr>
      <w:r>
        <w:rPr>
          <w:rFonts w:ascii="Times New Roman" w:hAnsi="Times New Roman"/>
          <w:szCs w:val="24"/>
        </w:rPr>
        <w:t xml:space="preserve">Adds a full time position to the Revenue Collections Department </w:t>
      </w:r>
    </w:p>
    <w:p w:rsidR="00641241" w:rsidRPr="00641241" w:rsidRDefault="00641241" w:rsidP="004376F6">
      <w:pPr>
        <w:pStyle w:val="ListParagraph"/>
        <w:numPr>
          <w:ilvl w:val="0"/>
          <w:numId w:val="4"/>
        </w:numPr>
        <w:jc w:val="both"/>
        <w:rPr>
          <w:rFonts w:ascii="Times New Roman" w:hAnsi="Times New Roman"/>
          <w:szCs w:val="24"/>
          <w:u w:val="single"/>
        </w:rPr>
      </w:pPr>
      <w:r>
        <w:rPr>
          <w:rFonts w:ascii="Times New Roman" w:hAnsi="Times New Roman"/>
          <w:szCs w:val="24"/>
        </w:rPr>
        <w:t>Adds a full time position at the Wakulla County Public Library. This is additional position if offset by reallocating the salary and benefits of one current employee to the Library State Aid Grant Fund.</w:t>
      </w:r>
    </w:p>
    <w:p w:rsidR="00641241" w:rsidRPr="008E1E91" w:rsidRDefault="008E1E91" w:rsidP="004376F6">
      <w:pPr>
        <w:pStyle w:val="ListParagraph"/>
        <w:numPr>
          <w:ilvl w:val="0"/>
          <w:numId w:val="4"/>
        </w:numPr>
        <w:jc w:val="both"/>
        <w:rPr>
          <w:rFonts w:ascii="Times New Roman" w:hAnsi="Times New Roman"/>
          <w:szCs w:val="24"/>
          <w:u w:val="single"/>
        </w:rPr>
      </w:pPr>
      <w:r>
        <w:rPr>
          <w:rFonts w:ascii="Times New Roman" w:hAnsi="Times New Roman"/>
          <w:szCs w:val="24"/>
        </w:rPr>
        <w:t>Adds one part time position for Administration for a student in the On Job Training (OJT) Program</w:t>
      </w:r>
    </w:p>
    <w:p w:rsidR="008E1E91" w:rsidRPr="00704DDD" w:rsidRDefault="008E1E91" w:rsidP="004376F6">
      <w:pPr>
        <w:pStyle w:val="ListParagraph"/>
        <w:numPr>
          <w:ilvl w:val="0"/>
          <w:numId w:val="4"/>
        </w:numPr>
        <w:jc w:val="both"/>
        <w:rPr>
          <w:rFonts w:ascii="Times New Roman" w:hAnsi="Times New Roman"/>
          <w:szCs w:val="24"/>
          <w:u w:val="single"/>
        </w:rPr>
      </w:pPr>
      <w:r>
        <w:rPr>
          <w:rFonts w:ascii="Times New Roman" w:hAnsi="Times New Roman"/>
          <w:szCs w:val="24"/>
        </w:rPr>
        <w:t>Provides a contractually obligated CPI increase of 2% to the county attorney firm, Nabors, Giblin &amp; Nickerson, P.A.</w:t>
      </w:r>
    </w:p>
    <w:p w:rsidR="004B6394" w:rsidRDefault="004B6394" w:rsidP="00C92773">
      <w:pPr>
        <w:jc w:val="both"/>
        <w:rPr>
          <w:b/>
          <w:i/>
          <w:szCs w:val="24"/>
          <w:u w:val="single"/>
        </w:rPr>
      </w:pPr>
    </w:p>
    <w:p w:rsidR="00C92773" w:rsidRDefault="00C92773" w:rsidP="00C92773">
      <w:pPr>
        <w:jc w:val="both"/>
        <w:rPr>
          <w:b/>
          <w:i/>
          <w:szCs w:val="24"/>
          <w:u w:val="single"/>
        </w:rPr>
      </w:pPr>
      <w:r>
        <w:rPr>
          <w:b/>
          <w:i/>
          <w:szCs w:val="24"/>
          <w:u w:val="single"/>
        </w:rPr>
        <w:t>Revenue Stabilization Fund (RSF)</w:t>
      </w:r>
    </w:p>
    <w:p w:rsidR="0012653B" w:rsidRPr="000A4E3E" w:rsidRDefault="00C92773" w:rsidP="004376F6">
      <w:pPr>
        <w:pStyle w:val="ListParagraph"/>
        <w:numPr>
          <w:ilvl w:val="0"/>
          <w:numId w:val="3"/>
        </w:numPr>
        <w:jc w:val="both"/>
        <w:rPr>
          <w:szCs w:val="24"/>
        </w:rPr>
      </w:pPr>
      <w:r>
        <w:rPr>
          <w:rFonts w:ascii="Times New Roman" w:hAnsi="Times New Roman"/>
          <w:szCs w:val="24"/>
        </w:rPr>
        <w:t xml:space="preserve">Establishes the RSF as a </w:t>
      </w:r>
      <w:r w:rsidR="000A4E3E">
        <w:rPr>
          <w:rFonts w:ascii="Times New Roman" w:hAnsi="Times New Roman"/>
          <w:szCs w:val="24"/>
        </w:rPr>
        <w:t>safeguard for fluctuating or volatile revenue (CST, Fiscally Constrained Counties, Housing for Prisoner, etc.)</w:t>
      </w:r>
      <w:r w:rsidR="00EE6036">
        <w:rPr>
          <w:rFonts w:ascii="Times New Roman" w:hAnsi="Times New Roman"/>
          <w:szCs w:val="24"/>
        </w:rPr>
        <w:t xml:space="preserve"> and allows time for deliberate decisions in making future budgetary projections and assumptions</w:t>
      </w:r>
    </w:p>
    <w:p w:rsidR="000A4E3E" w:rsidRPr="000A4E3E" w:rsidRDefault="000A4E3E" w:rsidP="004376F6">
      <w:pPr>
        <w:pStyle w:val="ListParagraph"/>
        <w:numPr>
          <w:ilvl w:val="0"/>
          <w:numId w:val="3"/>
        </w:numPr>
        <w:jc w:val="both"/>
        <w:rPr>
          <w:szCs w:val="24"/>
        </w:rPr>
      </w:pPr>
      <w:r>
        <w:rPr>
          <w:rFonts w:ascii="Times New Roman" w:hAnsi="Times New Roman"/>
          <w:szCs w:val="24"/>
        </w:rPr>
        <w:t xml:space="preserve">Strategically and </w:t>
      </w:r>
      <w:r w:rsidR="00253789">
        <w:rPr>
          <w:rFonts w:ascii="Times New Roman" w:hAnsi="Times New Roman"/>
          <w:szCs w:val="24"/>
        </w:rPr>
        <w:t>incrementally</w:t>
      </w:r>
      <w:r>
        <w:rPr>
          <w:rFonts w:ascii="Times New Roman" w:hAnsi="Times New Roman"/>
          <w:szCs w:val="24"/>
        </w:rPr>
        <w:t xml:space="preserve"> provides a method for the Fine &amp; Forfeiture Fund to reduce dependence on </w:t>
      </w:r>
      <w:r w:rsidR="00EE6036">
        <w:rPr>
          <w:rFonts w:ascii="Times New Roman" w:hAnsi="Times New Roman"/>
          <w:szCs w:val="24"/>
        </w:rPr>
        <w:t>the unpredictable Housing for Prisoner revenue</w:t>
      </w:r>
    </w:p>
    <w:p w:rsidR="00EE6036" w:rsidRPr="00EE6036" w:rsidRDefault="00EE6036" w:rsidP="004376F6">
      <w:pPr>
        <w:pStyle w:val="ListParagraph"/>
        <w:numPr>
          <w:ilvl w:val="0"/>
          <w:numId w:val="3"/>
        </w:numPr>
        <w:jc w:val="both"/>
        <w:rPr>
          <w:szCs w:val="24"/>
        </w:rPr>
      </w:pPr>
      <w:r w:rsidRPr="00EE6036">
        <w:rPr>
          <w:rFonts w:ascii="Times New Roman" w:hAnsi="Times New Roman"/>
          <w:szCs w:val="24"/>
        </w:rPr>
        <w:t xml:space="preserve">Establishes a maximum amount of annual recurring growth allowing for </w:t>
      </w:r>
      <w:r>
        <w:rPr>
          <w:rFonts w:ascii="Times New Roman" w:hAnsi="Times New Roman"/>
          <w:szCs w:val="24"/>
        </w:rPr>
        <w:t xml:space="preserve">disciplined expenditure control </w:t>
      </w:r>
    </w:p>
    <w:p w:rsidR="000A4E3E" w:rsidRPr="000A4E3E" w:rsidRDefault="000A4E3E" w:rsidP="004376F6">
      <w:pPr>
        <w:pStyle w:val="ListParagraph"/>
        <w:numPr>
          <w:ilvl w:val="0"/>
          <w:numId w:val="3"/>
        </w:numPr>
        <w:jc w:val="both"/>
        <w:rPr>
          <w:szCs w:val="24"/>
        </w:rPr>
      </w:pPr>
      <w:r>
        <w:rPr>
          <w:rFonts w:ascii="Times New Roman" w:hAnsi="Times New Roman"/>
          <w:szCs w:val="24"/>
        </w:rPr>
        <w:t>Unlike General Fund Reserve and Fund Balance, the RSF is intended to be used towards recurring expenses</w:t>
      </w:r>
      <w:r w:rsidR="00EE6036">
        <w:rPr>
          <w:rFonts w:ascii="Times New Roman" w:hAnsi="Times New Roman"/>
          <w:szCs w:val="24"/>
        </w:rPr>
        <w:t xml:space="preserve"> in periods of reduced revenue</w:t>
      </w:r>
    </w:p>
    <w:p w:rsidR="000A4E3E" w:rsidRPr="000A4E3E" w:rsidRDefault="000A4E3E" w:rsidP="004376F6">
      <w:pPr>
        <w:pStyle w:val="ListParagraph"/>
        <w:numPr>
          <w:ilvl w:val="0"/>
          <w:numId w:val="3"/>
        </w:numPr>
        <w:jc w:val="both"/>
        <w:rPr>
          <w:szCs w:val="24"/>
        </w:rPr>
      </w:pPr>
      <w:r>
        <w:rPr>
          <w:rFonts w:ascii="Times New Roman" w:hAnsi="Times New Roman"/>
          <w:szCs w:val="24"/>
        </w:rPr>
        <w:t>Transfer in of $300,000 in the current fiscal year to establish the fund</w:t>
      </w:r>
    </w:p>
    <w:p w:rsidR="000A4E3E" w:rsidRPr="00EE6036" w:rsidRDefault="000A4E3E" w:rsidP="004376F6">
      <w:pPr>
        <w:pStyle w:val="ListParagraph"/>
        <w:numPr>
          <w:ilvl w:val="0"/>
          <w:numId w:val="3"/>
        </w:numPr>
        <w:jc w:val="both"/>
        <w:rPr>
          <w:szCs w:val="24"/>
        </w:rPr>
      </w:pPr>
      <w:r>
        <w:rPr>
          <w:rFonts w:ascii="Times New Roman" w:hAnsi="Times New Roman"/>
          <w:szCs w:val="24"/>
        </w:rPr>
        <w:t>Conceivably transfer a portion of the BP settlement to the RSF, as determined by the Board</w:t>
      </w:r>
    </w:p>
    <w:p w:rsidR="00EE6036" w:rsidRPr="008E1E91" w:rsidRDefault="00524A4F" w:rsidP="004376F6">
      <w:pPr>
        <w:pStyle w:val="ListParagraph"/>
        <w:numPr>
          <w:ilvl w:val="0"/>
          <w:numId w:val="3"/>
        </w:numPr>
        <w:jc w:val="both"/>
        <w:rPr>
          <w:szCs w:val="24"/>
        </w:rPr>
      </w:pPr>
      <w:r>
        <w:rPr>
          <w:rFonts w:ascii="Times New Roman" w:hAnsi="Times New Roman"/>
          <w:szCs w:val="24"/>
        </w:rPr>
        <w:t>The RSF will</w:t>
      </w:r>
      <w:r w:rsidR="00EE6036">
        <w:rPr>
          <w:rFonts w:ascii="Times New Roman" w:hAnsi="Times New Roman"/>
          <w:szCs w:val="24"/>
        </w:rPr>
        <w:t xml:space="preserve"> not exceed 10</w:t>
      </w:r>
      <w:r w:rsidR="004D1246">
        <w:rPr>
          <w:rFonts w:ascii="Times New Roman" w:hAnsi="Times New Roman"/>
          <w:szCs w:val="24"/>
        </w:rPr>
        <w:t>% to 12</w:t>
      </w:r>
      <w:r w:rsidR="00EE6036">
        <w:rPr>
          <w:rFonts w:ascii="Times New Roman" w:hAnsi="Times New Roman"/>
          <w:szCs w:val="24"/>
        </w:rPr>
        <w:t xml:space="preserve">% of </w:t>
      </w:r>
      <w:r>
        <w:rPr>
          <w:rFonts w:ascii="Times New Roman" w:hAnsi="Times New Roman"/>
          <w:szCs w:val="24"/>
        </w:rPr>
        <w:t>total annual</w:t>
      </w:r>
      <w:r w:rsidR="00EE6036">
        <w:rPr>
          <w:rFonts w:ascii="Times New Roman" w:hAnsi="Times New Roman"/>
          <w:szCs w:val="24"/>
        </w:rPr>
        <w:t xml:space="preserve"> General Fund expenditures</w:t>
      </w:r>
      <w:r>
        <w:rPr>
          <w:rFonts w:ascii="Times New Roman" w:hAnsi="Times New Roman"/>
          <w:szCs w:val="24"/>
        </w:rPr>
        <w:t xml:space="preserve"> (</w:t>
      </w:r>
      <w:r w:rsidR="004D1246">
        <w:rPr>
          <w:rFonts w:ascii="Times New Roman" w:hAnsi="Times New Roman"/>
          <w:szCs w:val="24"/>
        </w:rPr>
        <w:t>approximately $1,300,000)</w:t>
      </w:r>
    </w:p>
    <w:p w:rsidR="008E1E91" w:rsidRDefault="008E1E91" w:rsidP="008E1E91">
      <w:pPr>
        <w:jc w:val="both"/>
        <w:rPr>
          <w:szCs w:val="24"/>
        </w:rPr>
      </w:pPr>
    </w:p>
    <w:p w:rsidR="008E1E91" w:rsidRDefault="008E1E91" w:rsidP="008E1E91">
      <w:pPr>
        <w:jc w:val="both"/>
        <w:rPr>
          <w:b/>
          <w:i/>
          <w:szCs w:val="24"/>
          <w:u w:val="single"/>
        </w:rPr>
      </w:pPr>
      <w:r>
        <w:rPr>
          <w:b/>
          <w:i/>
          <w:szCs w:val="24"/>
          <w:u w:val="single"/>
        </w:rPr>
        <w:t>Fine &amp; Forfeiture Fund</w:t>
      </w:r>
    </w:p>
    <w:p w:rsidR="008E1E91" w:rsidRPr="00D754E6" w:rsidRDefault="008E1E91" w:rsidP="004376F6">
      <w:pPr>
        <w:pStyle w:val="ListParagraph"/>
        <w:numPr>
          <w:ilvl w:val="0"/>
          <w:numId w:val="5"/>
        </w:numPr>
        <w:jc w:val="both"/>
        <w:rPr>
          <w:szCs w:val="24"/>
          <w:u w:val="single"/>
        </w:rPr>
      </w:pPr>
      <w:r>
        <w:rPr>
          <w:rFonts w:ascii="Times New Roman" w:hAnsi="Times New Roman"/>
          <w:szCs w:val="24"/>
        </w:rPr>
        <w:t xml:space="preserve">Fully funds two additional E911 operators </w:t>
      </w:r>
      <w:r w:rsidR="00D754E6">
        <w:rPr>
          <w:rFonts w:ascii="Times New Roman" w:hAnsi="Times New Roman"/>
          <w:szCs w:val="24"/>
        </w:rPr>
        <w:t>for the Wakulla County Sheriff Office (WCSO)</w:t>
      </w:r>
    </w:p>
    <w:p w:rsidR="00D754E6" w:rsidRPr="00D754E6" w:rsidRDefault="00D754E6" w:rsidP="004376F6">
      <w:pPr>
        <w:pStyle w:val="ListParagraph"/>
        <w:numPr>
          <w:ilvl w:val="0"/>
          <w:numId w:val="5"/>
        </w:numPr>
        <w:jc w:val="both"/>
        <w:rPr>
          <w:szCs w:val="24"/>
          <w:u w:val="single"/>
        </w:rPr>
      </w:pPr>
      <w:r>
        <w:rPr>
          <w:rFonts w:ascii="Times New Roman" w:hAnsi="Times New Roman"/>
          <w:szCs w:val="24"/>
        </w:rPr>
        <w:lastRenderedPageBreak/>
        <w:t>In the Law Enforcement Division, Community and Youth Relations, fully funds the COPS Grant commitment for one final year</w:t>
      </w:r>
    </w:p>
    <w:p w:rsidR="00D754E6" w:rsidRPr="00D754E6" w:rsidRDefault="00D754E6" w:rsidP="004376F6">
      <w:pPr>
        <w:pStyle w:val="ListParagraph"/>
        <w:numPr>
          <w:ilvl w:val="0"/>
          <w:numId w:val="5"/>
        </w:numPr>
        <w:jc w:val="both"/>
        <w:rPr>
          <w:szCs w:val="24"/>
          <w:u w:val="single"/>
        </w:rPr>
      </w:pPr>
      <w:r>
        <w:rPr>
          <w:rFonts w:ascii="Times New Roman" w:hAnsi="Times New Roman"/>
          <w:szCs w:val="24"/>
        </w:rPr>
        <w:t>Provides an increase to the total WCSO budget of $191,622 over the current fiscal year</w:t>
      </w:r>
    </w:p>
    <w:p w:rsidR="00D754E6" w:rsidRPr="00D754E6" w:rsidRDefault="00D754E6" w:rsidP="004376F6">
      <w:pPr>
        <w:pStyle w:val="ListParagraph"/>
        <w:numPr>
          <w:ilvl w:val="0"/>
          <w:numId w:val="5"/>
        </w:numPr>
        <w:jc w:val="both"/>
        <w:rPr>
          <w:szCs w:val="24"/>
          <w:u w:val="single"/>
        </w:rPr>
      </w:pPr>
      <w:r>
        <w:rPr>
          <w:rFonts w:ascii="Times New Roman" w:hAnsi="Times New Roman"/>
          <w:szCs w:val="24"/>
        </w:rPr>
        <w:t>Allocates over 66% of the General Administration revenue increase to the WCSO</w:t>
      </w:r>
    </w:p>
    <w:p w:rsidR="00D754E6" w:rsidRPr="00D754E6" w:rsidRDefault="00D754E6" w:rsidP="004376F6">
      <w:pPr>
        <w:pStyle w:val="ListParagraph"/>
        <w:numPr>
          <w:ilvl w:val="0"/>
          <w:numId w:val="5"/>
        </w:numPr>
        <w:jc w:val="both"/>
        <w:rPr>
          <w:szCs w:val="24"/>
          <w:u w:val="single"/>
        </w:rPr>
      </w:pPr>
      <w:r>
        <w:rPr>
          <w:rFonts w:ascii="Times New Roman" w:hAnsi="Times New Roman"/>
          <w:szCs w:val="24"/>
        </w:rPr>
        <w:t>Spreads the revenue decrease of $553,112 in Housing for Prisoner revenue across all Constitutional Officers</w:t>
      </w:r>
    </w:p>
    <w:p w:rsidR="00D754E6" w:rsidRDefault="00D754E6" w:rsidP="00D754E6">
      <w:pPr>
        <w:jc w:val="both"/>
        <w:rPr>
          <w:szCs w:val="24"/>
          <w:u w:val="single"/>
        </w:rPr>
      </w:pPr>
    </w:p>
    <w:p w:rsidR="00D754E6" w:rsidRDefault="00D754E6" w:rsidP="00D754E6">
      <w:pPr>
        <w:jc w:val="both"/>
        <w:rPr>
          <w:b/>
          <w:i/>
          <w:szCs w:val="24"/>
          <w:u w:val="single"/>
        </w:rPr>
      </w:pPr>
      <w:r>
        <w:rPr>
          <w:b/>
          <w:i/>
          <w:szCs w:val="24"/>
          <w:u w:val="single"/>
        </w:rPr>
        <w:t>Road Department Fund</w:t>
      </w:r>
    </w:p>
    <w:p w:rsidR="00D754E6" w:rsidRPr="00B635BA" w:rsidRDefault="00B635BA" w:rsidP="004376F6">
      <w:pPr>
        <w:pStyle w:val="ListParagraph"/>
        <w:numPr>
          <w:ilvl w:val="0"/>
          <w:numId w:val="6"/>
        </w:numPr>
        <w:jc w:val="both"/>
        <w:rPr>
          <w:szCs w:val="24"/>
        </w:rPr>
      </w:pPr>
      <w:r>
        <w:rPr>
          <w:rFonts w:ascii="Times New Roman" w:hAnsi="Times New Roman"/>
          <w:szCs w:val="24"/>
        </w:rPr>
        <w:t>Provides a contractually obligated CPI increase of 2% to the subcontractor company that operates Public Works, ESG Operations, Inc.</w:t>
      </w:r>
    </w:p>
    <w:p w:rsidR="00B635BA" w:rsidRPr="00B635BA" w:rsidRDefault="00B635BA" w:rsidP="004376F6">
      <w:pPr>
        <w:pStyle w:val="ListParagraph"/>
        <w:numPr>
          <w:ilvl w:val="0"/>
          <w:numId w:val="6"/>
        </w:numPr>
        <w:jc w:val="both"/>
        <w:rPr>
          <w:szCs w:val="24"/>
        </w:rPr>
      </w:pPr>
      <w:r>
        <w:rPr>
          <w:rFonts w:ascii="Times New Roman" w:hAnsi="Times New Roman"/>
          <w:szCs w:val="24"/>
        </w:rPr>
        <w:t>Provides funding for the purchase of necessary capital equipment</w:t>
      </w:r>
    </w:p>
    <w:p w:rsidR="00B635BA" w:rsidRPr="00B635BA" w:rsidRDefault="00B635BA" w:rsidP="004376F6">
      <w:pPr>
        <w:pStyle w:val="ListParagraph"/>
        <w:numPr>
          <w:ilvl w:val="0"/>
          <w:numId w:val="6"/>
        </w:numPr>
        <w:jc w:val="both"/>
        <w:rPr>
          <w:szCs w:val="24"/>
        </w:rPr>
      </w:pPr>
      <w:r>
        <w:rPr>
          <w:rFonts w:ascii="Times New Roman" w:hAnsi="Times New Roman"/>
          <w:szCs w:val="24"/>
        </w:rPr>
        <w:t>Provides $20,000 funding for Keep Wakulla County Beautiful (KWCB)</w:t>
      </w:r>
      <w:r w:rsidR="0021430E">
        <w:rPr>
          <w:rFonts w:ascii="Times New Roman" w:hAnsi="Times New Roman"/>
          <w:szCs w:val="24"/>
        </w:rPr>
        <w:t>. KWCB was formally funded by National Forest Title III funds. Support of KWCB with Title III funding is no longer an authorized expenditure of this restricted funding</w:t>
      </w:r>
    </w:p>
    <w:p w:rsidR="00B635BA" w:rsidRDefault="00B635BA" w:rsidP="00B635BA">
      <w:pPr>
        <w:jc w:val="both"/>
        <w:rPr>
          <w:szCs w:val="24"/>
        </w:rPr>
      </w:pPr>
    </w:p>
    <w:p w:rsidR="00B635BA" w:rsidRDefault="00B635BA" w:rsidP="00B635BA">
      <w:pPr>
        <w:jc w:val="both"/>
        <w:rPr>
          <w:b/>
          <w:i/>
          <w:szCs w:val="24"/>
          <w:u w:val="single"/>
        </w:rPr>
      </w:pPr>
      <w:r>
        <w:rPr>
          <w:b/>
          <w:i/>
          <w:szCs w:val="24"/>
          <w:u w:val="single"/>
        </w:rPr>
        <w:t>Fire MSBU Fund</w:t>
      </w:r>
    </w:p>
    <w:p w:rsidR="00B635BA" w:rsidRPr="00B635BA" w:rsidRDefault="00B635BA" w:rsidP="004376F6">
      <w:pPr>
        <w:pStyle w:val="ListParagraph"/>
        <w:numPr>
          <w:ilvl w:val="0"/>
          <w:numId w:val="7"/>
        </w:numPr>
        <w:jc w:val="both"/>
        <w:rPr>
          <w:szCs w:val="24"/>
        </w:rPr>
      </w:pPr>
      <w:r>
        <w:rPr>
          <w:rFonts w:ascii="Times New Roman" w:hAnsi="Times New Roman"/>
          <w:szCs w:val="24"/>
        </w:rPr>
        <w:t xml:space="preserve">Preliminarily establishes the 2015/2016 Fire MSBU Assessment at $80 per household, $.064 per square foot commercial and $.1813 per acre for vacant land </w:t>
      </w:r>
    </w:p>
    <w:p w:rsidR="00B635BA" w:rsidRPr="00B635BA" w:rsidRDefault="00B635BA" w:rsidP="004376F6">
      <w:pPr>
        <w:pStyle w:val="ListParagraph"/>
        <w:numPr>
          <w:ilvl w:val="0"/>
          <w:numId w:val="7"/>
        </w:numPr>
        <w:jc w:val="both"/>
        <w:rPr>
          <w:szCs w:val="24"/>
        </w:rPr>
      </w:pPr>
      <w:r w:rsidRPr="00B635BA">
        <w:rPr>
          <w:rFonts w:ascii="Times New Roman" w:hAnsi="Times New Roman"/>
          <w:b/>
          <w:i/>
          <w:szCs w:val="24"/>
        </w:rPr>
        <w:t>Does not fund</w:t>
      </w:r>
      <w:r>
        <w:rPr>
          <w:rFonts w:ascii="Times New Roman" w:hAnsi="Times New Roman"/>
          <w:szCs w:val="24"/>
        </w:rPr>
        <w:t xml:space="preserve"> any operating or capital equipment</w:t>
      </w:r>
    </w:p>
    <w:p w:rsidR="00B635BA" w:rsidRDefault="00B635BA" w:rsidP="00B635BA">
      <w:pPr>
        <w:jc w:val="both"/>
        <w:rPr>
          <w:szCs w:val="24"/>
        </w:rPr>
      </w:pPr>
    </w:p>
    <w:p w:rsidR="00B635BA" w:rsidRDefault="00B635BA" w:rsidP="00B635BA">
      <w:pPr>
        <w:jc w:val="both"/>
        <w:rPr>
          <w:b/>
          <w:i/>
          <w:szCs w:val="24"/>
          <w:u w:val="single"/>
        </w:rPr>
      </w:pPr>
      <w:r>
        <w:rPr>
          <w:b/>
          <w:i/>
          <w:szCs w:val="24"/>
          <w:u w:val="single"/>
        </w:rPr>
        <w:t>One Cent Sales Tax Fund</w:t>
      </w:r>
    </w:p>
    <w:p w:rsidR="00B635BA" w:rsidRPr="00B635BA" w:rsidRDefault="00B635BA" w:rsidP="004376F6">
      <w:pPr>
        <w:pStyle w:val="ListParagraph"/>
        <w:numPr>
          <w:ilvl w:val="0"/>
          <w:numId w:val="8"/>
        </w:numPr>
        <w:jc w:val="both"/>
        <w:rPr>
          <w:szCs w:val="24"/>
        </w:rPr>
      </w:pPr>
      <w:r>
        <w:rPr>
          <w:rFonts w:ascii="Times New Roman" w:hAnsi="Times New Roman"/>
          <w:szCs w:val="24"/>
        </w:rPr>
        <w:t xml:space="preserve">Fully funds </w:t>
      </w:r>
      <w:r w:rsidR="0021430E">
        <w:rPr>
          <w:rFonts w:ascii="Times New Roman" w:hAnsi="Times New Roman"/>
          <w:szCs w:val="24"/>
        </w:rPr>
        <w:t xml:space="preserve">capital </w:t>
      </w:r>
      <w:r>
        <w:rPr>
          <w:rFonts w:ascii="Times New Roman" w:hAnsi="Times New Roman"/>
          <w:szCs w:val="24"/>
        </w:rPr>
        <w:t>maintenance of the Riversink Water Tower tank interior repainting, $60,000</w:t>
      </w:r>
    </w:p>
    <w:p w:rsidR="00B635BA" w:rsidRPr="00B635BA" w:rsidRDefault="00B635BA" w:rsidP="004376F6">
      <w:pPr>
        <w:pStyle w:val="ListParagraph"/>
        <w:numPr>
          <w:ilvl w:val="0"/>
          <w:numId w:val="8"/>
        </w:numPr>
        <w:jc w:val="both"/>
        <w:rPr>
          <w:szCs w:val="24"/>
        </w:rPr>
      </w:pPr>
      <w:r>
        <w:rPr>
          <w:rFonts w:ascii="Times New Roman" w:hAnsi="Times New Roman"/>
          <w:szCs w:val="24"/>
        </w:rPr>
        <w:t>Fully funds replacement of a Class A Fire Engine, $390,000</w:t>
      </w:r>
    </w:p>
    <w:p w:rsidR="00B635BA" w:rsidRPr="00B635BA" w:rsidRDefault="00B635BA" w:rsidP="004376F6">
      <w:pPr>
        <w:pStyle w:val="ListParagraph"/>
        <w:numPr>
          <w:ilvl w:val="0"/>
          <w:numId w:val="8"/>
        </w:numPr>
        <w:jc w:val="both"/>
        <w:rPr>
          <w:szCs w:val="24"/>
        </w:rPr>
      </w:pPr>
      <w:r>
        <w:rPr>
          <w:rFonts w:ascii="Times New Roman" w:hAnsi="Times New Roman"/>
          <w:szCs w:val="24"/>
        </w:rPr>
        <w:t>Fully Funds replacement of several Road Patrol vehicles for the WCSO, $98,500</w:t>
      </w:r>
    </w:p>
    <w:p w:rsidR="00B635BA" w:rsidRPr="007C17AB" w:rsidRDefault="00B635BA" w:rsidP="004376F6">
      <w:pPr>
        <w:pStyle w:val="ListParagraph"/>
        <w:numPr>
          <w:ilvl w:val="0"/>
          <w:numId w:val="8"/>
        </w:numPr>
        <w:jc w:val="both"/>
        <w:rPr>
          <w:szCs w:val="24"/>
        </w:rPr>
      </w:pPr>
      <w:r>
        <w:rPr>
          <w:rFonts w:ascii="Times New Roman" w:hAnsi="Times New Roman"/>
          <w:szCs w:val="24"/>
        </w:rPr>
        <w:t>Provides $525,000 for road resurfacing, new paving, striping and bridge repair</w:t>
      </w:r>
    </w:p>
    <w:p w:rsidR="007C17AB" w:rsidRPr="007C17AB" w:rsidRDefault="007C17AB" w:rsidP="004376F6">
      <w:pPr>
        <w:pStyle w:val="ListParagraph"/>
        <w:numPr>
          <w:ilvl w:val="0"/>
          <w:numId w:val="8"/>
        </w:numPr>
        <w:jc w:val="both"/>
        <w:rPr>
          <w:szCs w:val="24"/>
        </w:rPr>
      </w:pPr>
      <w:r>
        <w:rPr>
          <w:rFonts w:ascii="Times New Roman" w:hAnsi="Times New Roman"/>
          <w:szCs w:val="24"/>
        </w:rPr>
        <w:t>Continues debt service payments totaling $591,239</w:t>
      </w:r>
    </w:p>
    <w:p w:rsidR="007C17AB" w:rsidRPr="00B635BA" w:rsidRDefault="007C17AB" w:rsidP="004376F6">
      <w:pPr>
        <w:pStyle w:val="ListParagraph"/>
        <w:numPr>
          <w:ilvl w:val="0"/>
          <w:numId w:val="8"/>
        </w:numPr>
        <w:jc w:val="both"/>
        <w:rPr>
          <w:szCs w:val="24"/>
        </w:rPr>
      </w:pPr>
      <w:r>
        <w:rPr>
          <w:rFonts w:ascii="Times New Roman" w:hAnsi="Times New Roman"/>
          <w:szCs w:val="24"/>
        </w:rPr>
        <w:t>Sets aside a reserve of $1,476,755 for anticipated paving projects in conjunction with the Magnolia Gardens and Wakulla Gardens Sewer Retrofit Project</w:t>
      </w:r>
    </w:p>
    <w:p w:rsidR="00B635BA" w:rsidRDefault="00B635BA" w:rsidP="00B635BA">
      <w:pPr>
        <w:jc w:val="both"/>
        <w:rPr>
          <w:szCs w:val="24"/>
        </w:rPr>
      </w:pPr>
    </w:p>
    <w:p w:rsidR="00B635BA" w:rsidRDefault="0021430E" w:rsidP="00B635BA">
      <w:pPr>
        <w:jc w:val="both"/>
        <w:rPr>
          <w:b/>
          <w:i/>
          <w:szCs w:val="24"/>
          <w:u w:val="single"/>
        </w:rPr>
      </w:pPr>
      <w:r>
        <w:rPr>
          <w:b/>
          <w:i/>
          <w:szCs w:val="24"/>
          <w:u w:val="single"/>
        </w:rPr>
        <w:t>Riversink Water Fund</w:t>
      </w:r>
    </w:p>
    <w:p w:rsidR="0021430E" w:rsidRPr="0021430E" w:rsidRDefault="0021430E" w:rsidP="004376F6">
      <w:pPr>
        <w:pStyle w:val="ListParagraph"/>
        <w:numPr>
          <w:ilvl w:val="0"/>
          <w:numId w:val="9"/>
        </w:numPr>
        <w:jc w:val="both"/>
        <w:rPr>
          <w:szCs w:val="24"/>
        </w:rPr>
      </w:pPr>
      <w:r>
        <w:rPr>
          <w:rFonts w:ascii="Times New Roman" w:hAnsi="Times New Roman"/>
          <w:szCs w:val="24"/>
        </w:rPr>
        <w:t>Provides a 2% CPI increase in services rates, as established by Resolution #13-14, providing an automatic index rate adjustment</w:t>
      </w:r>
    </w:p>
    <w:p w:rsidR="0021430E" w:rsidRDefault="0021430E" w:rsidP="0021430E">
      <w:pPr>
        <w:jc w:val="both"/>
        <w:rPr>
          <w:szCs w:val="24"/>
        </w:rPr>
      </w:pPr>
    </w:p>
    <w:p w:rsidR="00CF42AC" w:rsidRDefault="000717CA" w:rsidP="00CF42AC">
      <w:pPr>
        <w:jc w:val="both"/>
        <w:rPr>
          <w:szCs w:val="24"/>
        </w:rPr>
      </w:pPr>
      <w:r>
        <w:rPr>
          <w:szCs w:val="24"/>
        </w:rPr>
        <w:t xml:space="preserve">At the July 20, 2015 Board Meeting, the Board adopted the Fire and Solid Waste Services “Preliminary” Rates; however, the “Final” rates </w:t>
      </w:r>
      <w:r w:rsidR="00446C0B">
        <w:rPr>
          <w:szCs w:val="24"/>
        </w:rPr>
        <w:t>will not be considered until the September 9</w:t>
      </w:r>
      <w:r w:rsidR="00446C0B" w:rsidRPr="00446C0B">
        <w:rPr>
          <w:szCs w:val="24"/>
          <w:vertAlign w:val="superscript"/>
        </w:rPr>
        <w:t>th</w:t>
      </w:r>
      <w:r w:rsidR="00446C0B">
        <w:rPr>
          <w:szCs w:val="24"/>
        </w:rPr>
        <w:t xml:space="preserve"> Board Meeting.  Therefore, a</w:t>
      </w:r>
      <w:r w:rsidR="00CF42AC">
        <w:rPr>
          <w:szCs w:val="24"/>
        </w:rPr>
        <w:t xml:space="preserve">t this point in the budget process, </w:t>
      </w:r>
      <w:r w:rsidR="00446C0B">
        <w:rPr>
          <w:szCs w:val="24"/>
        </w:rPr>
        <w:t>the B</w:t>
      </w:r>
      <w:r w:rsidR="00CF42AC">
        <w:rPr>
          <w:szCs w:val="24"/>
        </w:rPr>
        <w:t xml:space="preserve">oard </w:t>
      </w:r>
      <w:r w:rsidR="00446C0B">
        <w:rPr>
          <w:szCs w:val="24"/>
        </w:rPr>
        <w:t xml:space="preserve">will need to discuss the following outstanding issues </w:t>
      </w:r>
      <w:r w:rsidR="00CF42AC">
        <w:rPr>
          <w:szCs w:val="24"/>
        </w:rPr>
        <w:t>so that decisio</w:t>
      </w:r>
      <w:r w:rsidR="00446C0B">
        <w:rPr>
          <w:szCs w:val="24"/>
        </w:rPr>
        <w:t>ns can be made and implemented:</w:t>
      </w:r>
    </w:p>
    <w:p w:rsidR="0021430E" w:rsidRPr="004376F6" w:rsidRDefault="0021430E" w:rsidP="004376F6">
      <w:pPr>
        <w:pStyle w:val="ListParagraph"/>
        <w:numPr>
          <w:ilvl w:val="0"/>
          <w:numId w:val="2"/>
        </w:numPr>
        <w:jc w:val="both"/>
        <w:rPr>
          <w:rFonts w:ascii="Times New Roman" w:hAnsi="Times New Roman"/>
          <w:szCs w:val="24"/>
        </w:rPr>
      </w:pPr>
      <w:r w:rsidRPr="004376F6">
        <w:rPr>
          <w:rFonts w:ascii="Times New Roman" w:hAnsi="Times New Roman"/>
          <w:szCs w:val="24"/>
        </w:rPr>
        <w:t>Fire MSBU Assessment Rate</w:t>
      </w:r>
    </w:p>
    <w:p w:rsidR="00CF42AC" w:rsidRPr="004376F6" w:rsidRDefault="00CF42AC" w:rsidP="004376F6">
      <w:pPr>
        <w:pStyle w:val="ListParagraph"/>
        <w:numPr>
          <w:ilvl w:val="0"/>
          <w:numId w:val="2"/>
        </w:numPr>
        <w:jc w:val="both"/>
        <w:rPr>
          <w:szCs w:val="24"/>
        </w:rPr>
      </w:pPr>
      <w:r>
        <w:rPr>
          <w:rFonts w:ascii="Times New Roman" w:hAnsi="Times New Roman"/>
          <w:sz w:val="24"/>
          <w:szCs w:val="24"/>
        </w:rPr>
        <w:t>Solid Waste Assessment Rate</w:t>
      </w:r>
    </w:p>
    <w:p w:rsidR="004376F6" w:rsidRPr="00CF42AC" w:rsidRDefault="004376F6" w:rsidP="004376F6">
      <w:pPr>
        <w:pStyle w:val="ListParagraph"/>
        <w:numPr>
          <w:ilvl w:val="0"/>
          <w:numId w:val="2"/>
        </w:numPr>
        <w:jc w:val="both"/>
        <w:rPr>
          <w:szCs w:val="24"/>
        </w:rPr>
      </w:pPr>
      <w:r>
        <w:rPr>
          <w:rFonts w:ascii="Times New Roman" w:hAnsi="Times New Roman"/>
          <w:sz w:val="24"/>
          <w:szCs w:val="24"/>
        </w:rPr>
        <w:t>Waste Pro 2.5% CPI contract increase</w:t>
      </w:r>
    </w:p>
    <w:p w:rsidR="004B6394" w:rsidRDefault="004B6394" w:rsidP="004D78BC">
      <w:pPr>
        <w:jc w:val="both"/>
        <w:rPr>
          <w:b/>
          <w:szCs w:val="24"/>
          <w:u w:val="single"/>
        </w:rPr>
      </w:pPr>
    </w:p>
    <w:p w:rsidR="004B6394" w:rsidRDefault="004B6394" w:rsidP="004D78BC">
      <w:pPr>
        <w:jc w:val="both"/>
        <w:rPr>
          <w:b/>
          <w:szCs w:val="24"/>
          <w:u w:val="single"/>
        </w:rPr>
      </w:pPr>
    </w:p>
    <w:p w:rsidR="004B6394" w:rsidRDefault="004B6394" w:rsidP="004D78BC">
      <w:pPr>
        <w:jc w:val="both"/>
        <w:rPr>
          <w:b/>
          <w:szCs w:val="24"/>
          <w:u w:val="single"/>
        </w:rPr>
      </w:pPr>
    </w:p>
    <w:p w:rsidR="004B6394" w:rsidRDefault="004B6394" w:rsidP="004D78BC">
      <w:pPr>
        <w:jc w:val="both"/>
        <w:rPr>
          <w:b/>
          <w:szCs w:val="24"/>
          <w:u w:val="single"/>
        </w:rPr>
      </w:pPr>
    </w:p>
    <w:p w:rsidR="004B6394" w:rsidRDefault="004B6394" w:rsidP="004D78BC">
      <w:pPr>
        <w:jc w:val="both"/>
        <w:rPr>
          <w:b/>
          <w:szCs w:val="24"/>
          <w:u w:val="single"/>
        </w:rPr>
      </w:pPr>
    </w:p>
    <w:p w:rsidR="00900FEB" w:rsidRPr="00B10A95" w:rsidRDefault="006F5034" w:rsidP="004D78BC">
      <w:pPr>
        <w:jc w:val="both"/>
        <w:rPr>
          <w:b/>
          <w:szCs w:val="24"/>
          <w:u w:val="single"/>
        </w:rPr>
      </w:pPr>
      <w:r w:rsidRPr="00B10A95">
        <w:rPr>
          <w:b/>
          <w:szCs w:val="24"/>
          <w:u w:val="single"/>
        </w:rPr>
        <w:t>S</w:t>
      </w:r>
      <w:r w:rsidR="00D271CC" w:rsidRPr="00B10A95">
        <w:rPr>
          <w:b/>
          <w:szCs w:val="24"/>
          <w:u w:val="single"/>
        </w:rPr>
        <w:t>ummary</w:t>
      </w:r>
      <w:r w:rsidR="004270A2" w:rsidRPr="00B10A95">
        <w:rPr>
          <w:b/>
          <w:szCs w:val="24"/>
          <w:u w:val="single"/>
        </w:rPr>
        <w:t>:</w:t>
      </w:r>
    </w:p>
    <w:p w:rsidR="005A7AF0" w:rsidRDefault="007C5FCA" w:rsidP="007C5FCA">
      <w:pPr>
        <w:jc w:val="both"/>
        <w:rPr>
          <w:szCs w:val="24"/>
        </w:rPr>
      </w:pPr>
      <w:r w:rsidRPr="00B10A95">
        <w:rPr>
          <w:szCs w:val="24"/>
        </w:rPr>
        <w:t xml:space="preserve">This is the </w:t>
      </w:r>
      <w:r w:rsidR="00C06012">
        <w:rPr>
          <w:szCs w:val="24"/>
        </w:rPr>
        <w:t>third</w:t>
      </w:r>
      <w:r w:rsidRPr="00B10A95">
        <w:rPr>
          <w:szCs w:val="24"/>
        </w:rPr>
        <w:t xml:space="preserve"> budget development workshop and </w:t>
      </w:r>
      <w:r w:rsidR="00C06012">
        <w:rPr>
          <w:szCs w:val="24"/>
        </w:rPr>
        <w:t>nearing the end of the</w:t>
      </w:r>
      <w:r w:rsidRPr="00B10A95">
        <w:rPr>
          <w:szCs w:val="24"/>
        </w:rPr>
        <w:t xml:space="preserve"> budget process. Over the next several weeks, budget meetings will continue and projections will be adjusted as </w:t>
      </w:r>
      <w:r w:rsidR="00435769" w:rsidRPr="00B10A95">
        <w:rPr>
          <w:szCs w:val="24"/>
        </w:rPr>
        <w:t xml:space="preserve">additional months of revenue and expense data becomes available. </w:t>
      </w:r>
      <w:r w:rsidR="00FC1CB6">
        <w:rPr>
          <w:szCs w:val="24"/>
        </w:rPr>
        <w:t xml:space="preserve">The first public hearing to be held on the </w:t>
      </w:r>
      <w:r w:rsidR="004376F6">
        <w:rPr>
          <w:szCs w:val="24"/>
        </w:rPr>
        <w:t xml:space="preserve">FY2015/2016 </w:t>
      </w:r>
      <w:r w:rsidR="00FC1CB6">
        <w:rPr>
          <w:szCs w:val="24"/>
        </w:rPr>
        <w:t xml:space="preserve">Tentative </w:t>
      </w:r>
      <w:r w:rsidR="004376F6">
        <w:rPr>
          <w:szCs w:val="24"/>
        </w:rPr>
        <w:t xml:space="preserve">Millage Rate and </w:t>
      </w:r>
      <w:r w:rsidR="00FC1CB6">
        <w:rPr>
          <w:szCs w:val="24"/>
        </w:rPr>
        <w:t>FY201</w:t>
      </w:r>
      <w:r w:rsidR="004376F6">
        <w:rPr>
          <w:szCs w:val="24"/>
        </w:rPr>
        <w:t>5</w:t>
      </w:r>
      <w:r w:rsidR="00FC1CB6">
        <w:rPr>
          <w:szCs w:val="24"/>
        </w:rPr>
        <w:t>/201</w:t>
      </w:r>
      <w:r w:rsidR="004376F6">
        <w:rPr>
          <w:szCs w:val="24"/>
        </w:rPr>
        <w:t>6</w:t>
      </w:r>
      <w:r w:rsidR="00FC1CB6">
        <w:rPr>
          <w:szCs w:val="24"/>
        </w:rPr>
        <w:t xml:space="preserve"> </w:t>
      </w:r>
      <w:r w:rsidR="004376F6">
        <w:rPr>
          <w:szCs w:val="24"/>
        </w:rPr>
        <w:t xml:space="preserve">Tentative Budget </w:t>
      </w:r>
      <w:r w:rsidR="00FC1CB6">
        <w:rPr>
          <w:szCs w:val="24"/>
        </w:rPr>
        <w:t xml:space="preserve">is scheduled for </w:t>
      </w:r>
      <w:r w:rsidR="004376F6">
        <w:rPr>
          <w:szCs w:val="24"/>
        </w:rPr>
        <w:t>Wednesday, September 9, 2015</w:t>
      </w:r>
      <w:r w:rsidR="00FC1CB6">
        <w:rPr>
          <w:szCs w:val="24"/>
        </w:rPr>
        <w:t xml:space="preserve"> </w:t>
      </w:r>
      <w:r w:rsidR="00D962A0">
        <w:rPr>
          <w:szCs w:val="24"/>
        </w:rPr>
        <w:t>at 5:01 p.m.</w:t>
      </w:r>
    </w:p>
    <w:p w:rsidR="00C06012" w:rsidRDefault="00C06012" w:rsidP="007C5FCA">
      <w:pPr>
        <w:jc w:val="both"/>
        <w:rPr>
          <w:szCs w:val="24"/>
        </w:rPr>
      </w:pPr>
    </w:p>
    <w:p w:rsidR="00C06012" w:rsidRPr="00B10A95" w:rsidRDefault="00C06012" w:rsidP="00C06012">
      <w:pPr>
        <w:jc w:val="both"/>
        <w:rPr>
          <w:szCs w:val="24"/>
        </w:rPr>
      </w:pPr>
      <w:r w:rsidRPr="00B10A95">
        <w:rPr>
          <w:i/>
          <w:szCs w:val="24"/>
        </w:rPr>
        <w:t xml:space="preserve">The budget numbers presented at the workshop are not final and are subject to change based on Board consideration of issues addressed in this or future workshops, subsequent estimate modifications, and any unanticipated events occurring in the remaining current year budget. </w:t>
      </w:r>
    </w:p>
    <w:p w:rsidR="00C06012" w:rsidRPr="00B10A95" w:rsidRDefault="00C06012" w:rsidP="007C5FCA">
      <w:pPr>
        <w:jc w:val="both"/>
        <w:rPr>
          <w:szCs w:val="24"/>
        </w:rPr>
      </w:pPr>
    </w:p>
    <w:p w:rsidR="00851DCD" w:rsidRDefault="00851DCD" w:rsidP="007C5FCA">
      <w:pPr>
        <w:jc w:val="both"/>
        <w:rPr>
          <w:b/>
          <w:szCs w:val="24"/>
          <w:u w:val="single"/>
        </w:rPr>
      </w:pPr>
    </w:p>
    <w:p w:rsidR="00446C0B" w:rsidRDefault="00446C0B" w:rsidP="00446C0B">
      <w:pPr>
        <w:autoSpaceDE w:val="0"/>
        <w:autoSpaceDN w:val="0"/>
        <w:adjustRightInd w:val="0"/>
        <w:rPr>
          <w:b/>
          <w:bCs/>
          <w:sz w:val="28"/>
          <w:szCs w:val="28"/>
        </w:rPr>
      </w:pPr>
      <w:r>
        <w:rPr>
          <w:b/>
          <w:bCs/>
          <w:sz w:val="28"/>
          <w:szCs w:val="28"/>
        </w:rPr>
        <w:t>PLEASE NOTE: The Board does not take action during Workshops; however</w:t>
      </w:r>
    </w:p>
    <w:p w:rsidR="00446C0B" w:rsidRDefault="00446C0B" w:rsidP="00446C0B">
      <w:pPr>
        <w:autoSpaceDE w:val="0"/>
        <w:autoSpaceDN w:val="0"/>
        <w:adjustRightInd w:val="0"/>
        <w:rPr>
          <w:b/>
          <w:bCs/>
          <w:sz w:val="28"/>
          <w:szCs w:val="28"/>
        </w:rPr>
      </w:pPr>
      <w:r>
        <w:rPr>
          <w:b/>
          <w:bCs/>
          <w:sz w:val="28"/>
          <w:szCs w:val="28"/>
        </w:rPr>
        <w:t>staff requests the Board provide direction and if any consensus is reached on how to proceed prior to this workshop concluding. The direction provided to staff will be included into the record of the minutes and will eliminate staff bringing back an agenda item to ratify.</w:t>
      </w:r>
    </w:p>
    <w:p w:rsidR="00851DCD" w:rsidRDefault="00851DCD" w:rsidP="007C5FCA">
      <w:pPr>
        <w:jc w:val="both"/>
        <w:rPr>
          <w:b/>
          <w:szCs w:val="24"/>
          <w:u w:val="single"/>
        </w:rPr>
      </w:pPr>
    </w:p>
    <w:p w:rsidR="00851DCD" w:rsidRDefault="00851DCD" w:rsidP="007C5FCA">
      <w:pPr>
        <w:jc w:val="both"/>
        <w:rPr>
          <w:b/>
          <w:szCs w:val="24"/>
          <w:u w:val="single"/>
        </w:rPr>
      </w:pPr>
      <w:bookmarkStart w:id="0" w:name="_GoBack"/>
      <w:bookmarkEnd w:id="0"/>
    </w:p>
    <w:p w:rsidR="007C5FCA" w:rsidRPr="00851DCD" w:rsidRDefault="00851DCD" w:rsidP="007C5FCA">
      <w:pPr>
        <w:jc w:val="both"/>
        <w:rPr>
          <w:b/>
          <w:szCs w:val="24"/>
          <w:u w:val="single"/>
        </w:rPr>
      </w:pPr>
      <w:r w:rsidRPr="00851DCD">
        <w:rPr>
          <w:b/>
          <w:szCs w:val="24"/>
          <w:u w:val="single"/>
        </w:rPr>
        <w:t>Attachment(s):</w:t>
      </w:r>
    </w:p>
    <w:p w:rsidR="00851DCD" w:rsidRPr="00851DCD" w:rsidRDefault="000717CA" w:rsidP="00851DCD">
      <w:pPr>
        <w:pStyle w:val="ListParagraph"/>
        <w:numPr>
          <w:ilvl w:val="0"/>
          <w:numId w:val="10"/>
        </w:numPr>
        <w:jc w:val="both"/>
        <w:rPr>
          <w:szCs w:val="24"/>
        </w:rPr>
      </w:pPr>
      <w:r>
        <w:rPr>
          <w:szCs w:val="24"/>
        </w:rPr>
        <w:t>FY2015/2016 Budget Presentation</w:t>
      </w:r>
    </w:p>
    <w:sectPr w:rsidR="00851DCD" w:rsidRPr="00851DCD" w:rsidSect="0099130D">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37" w:rsidRDefault="00640137">
      <w:r>
        <w:separator/>
      </w:r>
    </w:p>
  </w:endnote>
  <w:endnote w:type="continuationSeparator" w:id="0">
    <w:p w:rsidR="00640137" w:rsidRDefault="0064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37" w:rsidRDefault="00640137">
      <w:r>
        <w:separator/>
      </w:r>
    </w:p>
  </w:footnote>
  <w:footnote w:type="continuationSeparator" w:id="0">
    <w:p w:rsidR="00640137" w:rsidRDefault="0064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20" w:rsidRDefault="004B6394">
    <w:pPr>
      <w:pStyle w:val="Header"/>
    </w:pPr>
    <w:r>
      <w:rPr>
        <w:szCs w:val="24"/>
      </w:rPr>
      <w:t>3</w:t>
    </w:r>
    <w:r w:rsidRPr="004B6394">
      <w:rPr>
        <w:szCs w:val="24"/>
        <w:vertAlign w:val="superscript"/>
      </w:rPr>
      <w:t>rd</w:t>
    </w:r>
    <w:r>
      <w:rPr>
        <w:szCs w:val="24"/>
      </w:rPr>
      <w:t xml:space="preserve"> FY2015/2016 </w:t>
    </w:r>
    <w:r w:rsidRPr="00B10A95">
      <w:rPr>
        <w:szCs w:val="24"/>
      </w:rPr>
      <w:t xml:space="preserve">Budget Development </w:t>
    </w:r>
    <w:r>
      <w:rPr>
        <w:szCs w:val="24"/>
      </w:rPr>
      <w:t>Workshop</w:t>
    </w:r>
    <w:r w:rsidR="00484920">
      <w:t xml:space="preserve"> </w:t>
    </w:r>
  </w:p>
  <w:p w:rsidR="001B72D2" w:rsidRDefault="00DF2252">
    <w:pPr>
      <w:pStyle w:val="Header"/>
    </w:pPr>
    <w:r>
      <w:t xml:space="preserve">August </w:t>
    </w:r>
    <w:r w:rsidR="00C92773">
      <w:t>3</w:t>
    </w:r>
    <w:r w:rsidR="002B601F">
      <w:t>, 201</w:t>
    </w:r>
    <w:r w:rsidR="00C92773">
      <w:t>5</w:t>
    </w:r>
  </w:p>
  <w:p w:rsidR="001B72D2" w:rsidRDefault="001B72D2">
    <w:pPr>
      <w:pStyle w:val="Header"/>
      <w:pBdr>
        <w:bottom w:val="single" w:sz="6"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6C0B">
      <w:rPr>
        <w:rStyle w:val="PageNumber"/>
        <w:noProof/>
      </w:rPr>
      <w:t>4</w:t>
    </w:r>
    <w:r>
      <w:rPr>
        <w:rStyle w:val="PageNumber"/>
      </w:rPr>
      <w:fldChar w:fldCharType="end"/>
    </w:r>
  </w:p>
  <w:p w:rsidR="001B72D2" w:rsidRDefault="001B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B95B86"/>
    <w:multiLevelType w:val="hybridMultilevel"/>
    <w:tmpl w:val="8D2E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7449"/>
    <w:multiLevelType w:val="hybridMultilevel"/>
    <w:tmpl w:val="D434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56370"/>
    <w:multiLevelType w:val="hybridMultilevel"/>
    <w:tmpl w:val="2706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4FF9"/>
    <w:multiLevelType w:val="hybridMultilevel"/>
    <w:tmpl w:val="B968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41AF5"/>
    <w:multiLevelType w:val="hybridMultilevel"/>
    <w:tmpl w:val="C91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C4793"/>
    <w:multiLevelType w:val="hybridMultilevel"/>
    <w:tmpl w:val="3FAA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B1C73"/>
    <w:multiLevelType w:val="hybridMultilevel"/>
    <w:tmpl w:val="C40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770B2"/>
    <w:multiLevelType w:val="hybridMultilevel"/>
    <w:tmpl w:val="73D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A2486"/>
    <w:multiLevelType w:val="hybridMultilevel"/>
    <w:tmpl w:val="9E2A2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3"/>
  </w:num>
  <w:num w:numId="4">
    <w:abstractNumId w:val="5"/>
  </w:num>
  <w:num w:numId="5">
    <w:abstractNumId w:val="4"/>
  </w:num>
  <w:num w:numId="6">
    <w:abstractNumId w:val="2"/>
  </w:num>
  <w:num w:numId="7">
    <w:abstractNumId w:val="8"/>
  </w:num>
  <w:num w:numId="8">
    <w:abstractNumId w:val="6"/>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B4"/>
    <w:rsid w:val="00001A65"/>
    <w:rsid w:val="00011022"/>
    <w:rsid w:val="000154CC"/>
    <w:rsid w:val="000155EC"/>
    <w:rsid w:val="00016C34"/>
    <w:rsid w:val="00021034"/>
    <w:rsid w:val="00021209"/>
    <w:rsid w:val="000231D4"/>
    <w:rsid w:val="000301BA"/>
    <w:rsid w:val="0004214A"/>
    <w:rsid w:val="000427C6"/>
    <w:rsid w:val="00042F2D"/>
    <w:rsid w:val="000466BE"/>
    <w:rsid w:val="00050CCF"/>
    <w:rsid w:val="00052B0C"/>
    <w:rsid w:val="00056FB0"/>
    <w:rsid w:val="000717CA"/>
    <w:rsid w:val="00073F99"/>
    <w:rsid w:val="00076CAB"/>
    <w:rsid w:val="00080A74"/>
    <w:rsid w:val="0008490B"/>
    <w:rsid w:val="00084E1C"/>
    <w:rsid w:val="00086102"/>
    <w:rsid w:val="00090511"/>
    <w:rsid w:val="000A1707"/>
    <w:rsid w:val="000A33E7"/>
    <w:rsid w:val="000A4E3E"/>
    <w:rsid w:val="000B0DD8"/>
    <w:rsid w:val="000C19D3"/>
    <w:rsid w:val="000C2194"/>
    <w:rsid w:val="000C3A41"/>
    <w:rsid w:val="000C4CC3"/>
    <w:rsid w:val="000C63E6"/>
    <w:rsid w:val="000D5260"/>
    <w:rsid w:val="000E1E91"/>
    <w:rsid w:val="000E4578"/>
    <w:rsid w:val="000F0AC0"/>
    <w:rsid w:val="000F7DC0"/>
    <w:rsid w:val="001075E9"/>
    <w:rsid w:val="00107C4D"/>
    <w:rsid w:val="00110FF7"/>
    <w:rsid w:val="00111F22"/>
    <w:rsid w:val="00115106"/>
    <w:rsid w:val="0011580D"/>
    <w:rsid w:val="00122E81"/>
    <w:rsid w:val="0012653B"/>
    <w:rsid w:val="00131EC1"/>
    <w:rsid w:val="00132FD4"/>
    <w:rsid w:val="001334F1"/>
    <w:rsid w:val="00134AE2"/>
    <w:rsid w:val="00141903"/>
    <w:rsid w:val="00145A85"/>
    <w:rsid w:val="0014635D"/>
    <w:rsid w:val="001466D8"/>
    <w:rsid w:val="00152519"/>
    <w:rsid w:val="00155A2C"/>
    <w:rsid w:val="00157FA9"/>
    <w:rsid w:val="00160045"/>
    <w:rsid w:val="00160885"/>
    <w:rsid w:val="00162FB3"/>
    <w:rsid w:val="001675ED"/>
    <w:rsid w:val="00170D80"/>
    <w:rsid w:val="001715F8"/>
    <w:rsid w:val="00174961"/>
    <w:rsid w:val="00185056"/>
    <w:rsid w:val="00186F95"/>
    <w:rsid w:val="00191ABE"/>
    <w:rsid w:val="00196646"/>
    <w:rsid w:val="001A3FE8"/>
    <w:rsid w:val="001A6565"/>
    <w:rsid w:val="001B27B1"/>
    <w:rsid w:val="001B3704"/>
    <w:rsid w:val="001B4C0B"/>
    <w:rsid w:val="001B6D9E"/>
    <w:rsid w:val="001B72D2"/>
    <w:rsid w:val="001C0AB2"/>
    <w:rsid w:val="001C159B"/>
    <w:rsid w:val="001D107F"/>
    <w:rsid w:val="001D2B12"/>
    <w:rsid w:val="001D37F7"/>
    <w:rsid w:val="001D43CE"/>
    <w:rsid w:val="001D6F47"/>
    <w:rsid w:val="001E3A07"/>
    <w:rsid w:val="001E4451"/>
    <w:rsid w:val="001E6387"/>
    <w:rsid w:val="001E7704"/>
    <w:rsid w:val="001F0341"/>
    <w:rsid w:val="001F286A"/>
    <w:rsid w:val="001F2A59"/>
    <w:rsid w:val="00211964"/>
    <w:rsid w:val="0021430E"/>
    <w:rsid w:val="00215821"/>
    <w:rsid w:val="0021720A"/>
    <w:rsid w:val="00223520"/>
    <w:rsid w:val="00225755"/>
    <w:rsid w:val="00226933"/>
    <w:rsid w:val="0023255F"/>
    <w:rsid w:val="00234A12"/>
    <w:rsid w:val="00240A55"/>
    <w:rsid w:val="002475D9"/>
    <w:rsid w:val="00247CF3"/>
    <w:rsid w:val="00253789"/>
    <w:rsid w:val="002577C6"/>
    <w:rsid w:val="00263A8F"/>
    <w:rsid w:val="00281666"/>
    <w:rsid w:val="00281C2B"/>
    <w:rsid w:val="00287BCB"/>
    <w:rsid w:val="00293159"/>
    <w:rsid w:val="002942AC"/>
    <w:rsid w:val="0029457A"/>
    <w:rsid w:val="002A4916"/>
    <w:rsid w:val="002A4D04"/>
    <w:rsid w:val="002A5782"/>
    <w:rsid w:val="002A5EAE"/>
    <w:rsid w:val="002B1A8C"/>
    <w:rsid w:val="002B49D2"/>
    <w:rsid w:val="002B5836"/>
    <w:rsid w:val="002B601F"/>
    <w:rsid w:val="002B6736"/>
    <w:rsid w:val="002C530A"/>
    <w:rsid w:val="002C6CD1"/>
    <w:rsid w:val="002D6AB7"/>
    <w:rsid w:val="002E6D67"/>
    <w:rsid w:val="002F71F4"/>
    <w:rsid w:val="00303952"/>
    <w:rsid w:val="00307CBF"/>
    <w:rsid w:val="00312DA7"/>
    <w:rsid w:val="003237C4"/>
    <w:rsid w:val="0032481A"/>
    <w:rsid w:val="0033578F"/>
    <w:rsid w:val="00337779"/>
    <w:rsid w:val="0034408B"/>
    <w:rsid w:val="00345EEB"/>
    <w:rsid w:val="00346823"/>
    <w:rsid w:val="00357352"/>
    <w:rsid w:val="003720E9"/>
    <w:rsid w:val="00372818"/>
    <w:rsid w:val="00376321"/>
    <w:rsid w:val="00376619"/>
    <w:rsid w:val="003769C3"/>
    <w:rsid w:val="00376BE7"/>
    <w:rsid w:val="003775DB"/>
    <w:rsid w:val="00381B17"/>
    <w:rsid w:val="00382662"/>
    <w:rsid w:val="003902CF"/>
    <w:rsid w:val="00394239"/>
    <w:rsid w:val="00395B50"/>
    <w:rsid w:val="003966A4"/>
    <w:rsid w:val="003A2454"/>
    <w:rsid w:val="003B2402"/>
    <w:rsid w:val="003B6EDB"/>
    <w:rsid w:val="003C09A2"/>
    <w:rsid w:val="003E3449"/>
    <w:rsid w:val="003E71D4"/>
    <w:rsid w:val="003F334B"/>
    <w:rsid w:val="003F3ADC"/>
    <w:rsid w:val="003F5BDE"/>
    <w:rsid w:val="003F6C0F"/>
    <w:rsid w:val="004011B1"/>
    <w:rsid w:val="00401765"/>
    <w:rsid w:val="00401D66"/>
    <w:rsid w:val="00410284"/>
    <w:rsid w:val="004109D7"/>
    <w:rsid w:val="004121F9"/>
    <w:rsid w:val="0041336D"/>
    <w:rsid w:val="00415083"/>
    <w:rsid w:val="00423832"/>
    <w:rsid w:val="00424ECE"/>
    <w:rsid w:val="004270A2"/>
    <w:rsid w:val="00431A87"/>
    <w:rsid w:val="0043456F"/>
    <w:rsid w:val="004355DC"/>
    <w:rsid w:val="00435769"/>
    <w:rsid w:val="004376F6"/>
    <w:rsid w:val="00441DE7"/>
    <w:rsid w:val="00442CB7"/>
    <w:rsid w:val="00444705"/>
    <w:rsid w:val="00446C0B"/>
    <w:rsid w:val="004530FD"/>
    <w:rsid w:val="0045370E"/>
    <w:rsid w:val="00456BCA"/>
    <w:rsid w:val="00456CAE"/>
    <w:rsid w:val="004601D5"/>
    <w:rsid w:val="00477A39"/>
    <w:rsid w:val="00482EDB"/>
    <w:rsid w:val="00483602"/>
    <w:rsid w:val="00484920"/>
    <w:rsid w:val="004867F7"/>
    <w:rsid w:val="00491703"/>
    <w:rsid w:val="00493F17"/>
    <w:rsid w:val="004A03DC"/>
    <w:rsid w:val="004B0D0C"/>
    <w:rsid w:val="004B5157"/>
    <w:rsid w:val="004B6394"/>
    <w:rsid w:val="004C28C6"/>
    <w:rsid w:val="004C73A9"/>
    <w:rsid w:val="004D1246"/>
    <w:rsid w:val="004D1A79"/>
    <w:rsid w:val="004D2ECA"/>
    <w:rsid w:val="004D4527"/>
    <w:rsid w:val="004D78BC"/>
    <w:rsid w:val="004F3644"/>
    <w:rsid w:val="004F3DFA"/>
    <w:rsid w:val="004F55D3"/>
    <w:rsid w:val="00501DB6"/>
    <w:rsid w:val="0050649E"/>
    <w:rsid w:val="00512C63"/>
    <w:rsid w:val="00522382"/>
    <w:rsid w:val="00524A4F"/>
    <w:rsid w:val="0052510F"/>
    <w:rsid w:val="0054010F"/>
    <w:rsid w:val="00540A2D"/>
    <w:rsid w:val="00545F10"/>
    <w:rsid w:val="00554FA2"/>
    <w:rsid w:val="005567D2"/>
    <w:rsid w:val="00557180"/>
    <w:rsid w:val="00563249"/>
    <w:rsid w:val="00564ABE"/>
    <w:rsid w:val="00565A1E"/>
    <w:rsid w:val="00566F23"/>
    <w:rsid w:val="005716D6"/>
    <w:rsid w:val="005722CB"/>
    <w:rsid w:val="00575AF5"/>
    <w:rsid w:val="00577B17"/>
    <w:rsid w:val="00590A39"/>
    <w:rsid w:val="005A13DE"/>
    <w:rsid w:val="005A219B"/>
    <w:rsid w:val="005A6748"/>
    <w:rsid w:val="005A7AF0"/>
    <w:rsid w:val="005B01E3"/>
    <w:rsid w:val="005B22B1"/>
    <w:rsid w:val="005B57C1"/>
    <w:rsid w:val="005C1DF6"/>
    <w:rsid w:val="005D2CC4"/>
    <w:rsid w:val="005D5789"/>
    <w:rsid w:val="005E5E68"/>
    <w:rsid w:val="005E7F4E"/>
    <w:rsid w:val="006214E4"/>
    <w:rsid w:val="006234CA"/>
    <w:rsid w:val="00623CE5"/>
    <w:rsid w:val="006308E4"/>
    <w:rsid w:val="00631880"/>
    <w:rsid w:val="00635127"/>
    <w:rsid w:val="00637667"/>
    <w:rsid w:val="00640137"/>
    <w:rsid w:val="0064120B"/>
    <w:rsid w:val="00641241"/>
    <w:rsid w:val="00651201"/>
    <w:rsid w:val="00652E05"/>
    <w:rsid w:val="006563AB"/>
    <w:rsid w:val="00656850"/>
    <w:rsid w:val="00663A77"/>
    <w:rsid w:val="00670777"/>
    <w:rsid w:val="00674286"/>
    <w:rsid w:val="006769D3"/>
    <w:rsid w:val="0067700D"/>
    <w:rsid w:val="0068318A"/>
    <w:rsid w:val="00687DA3"/>
    <w:rsid w:val="00690506"/>
    <w:rsid w:val="006A190C"/>
    <w:rsid w:val="006A2BE9"/>
    <w:rsid w:val="006A76B4"/>
    <w:rsid w:val="006B3415"/>
    <w:rsid w:val="006B51A3"/>
    <w:rsid w:val="006B538C"/>
    <w:rsid w:val="006B5394"/>
    <w:rsid w:val="006B59F5"/>
    <w:rsid w:val="006C24DD"/>
    <w:rsid w:val="006C2650"/>
    <w:rsid w:val="006C459C"/>
    <w:rsid w:val="006C639F"/>
    <w:rsid w:val="006D2AB1"/>
    <w:rsid w:val="006D6757"/>
    <w:rsid w:val="006E3581"/>
    <w:rsid w:val="006E3675"/>
    <w:rsid w:val="006E3D8F"/>
    <w:rsid w:val="006E5F54"/>
    <w:rsid w:val="006F5034"/>
    <w:rsid w:val="00704DDD"/>
    <w:rsid w:val="00712161"/>
    <w:rsid w:val="007154FA"/>
    <w:rsid w:val="00720A48"/>
    <w:rsid w:val="0072439A"/>
    <w:rsid w:val="007245CF"/>
    <w:rsid w:val="00724BD5"/>
    <w:rsid w:val="0073547B"/>
    <w:rsid w:val="00742C03"/>
    <w:rsid w:val="007473D0"/>
    <w:rsid w:val="007554ED"/>
    <w:rsid w:val="00755E3E"/>
    <w:rsid w:val="00767FB6"/>
    <w:rsid w:val="00773727"/>
    <w:rsid w:val="0077420F"/>
    <w:rsid w:val="00774337"/>
    <w:rsid w:val="00775F70"/>
    <w:rsid w:val="00783D06"/>
    <w:rsid w:val="00787DD7"/>
    <w:rsid w:val="00790190"/>
    <w:rsid w:val="00790AAC"/>
    <w:rsid w:val="007915BC"/>
    <w:rsid w:val="007A4B2B"/>
    <w:rsid w:val="007A73B6"/>
    <w:rsid w:val="007B6201"/>
    <w:rsid w:val="007B6DBF"/>
    <w:rsid w:val="007C17AB"/>
    <w:rsid w:val="007C5FCA"/>
    <w:rsid w:val="007C6FA7"/>
    <w:rsid w:val="007D5692"/>
    <w:rsid w:val="007D73B5"/>
    <w:rsid w:val="007E2E0B"/>
    <w:rsid w:val="007E4234"/>
    <w:rsid w:val="007E42D6"/>
    <w:rsid w:val="007E7AF0"/>
    <w:rsid w:val="007F0184"/>
    <w:rsid w:val="00802116"/>
    <w:rsid w:val="00802ACF"/>
    <w:rsid w:val="00810879"/>
    <w:rsid w:val="008220ED"/>
    <w:rsid w:val="00823B21"/>
    <w:rsid w:val="008310A5"/>
    <w:rsid w:val="0083635A"/>
    <w:rsid w:val="0083714D"/>
    <w:rsid w:val="0084183A"/>
    <w:rsid w:val="00842350"/>
    <w:rsid w:val="008434C6"/>
    <w:rsid w:val="0084458F"/>
    <w:rsid w:val="00851DCD"/>
    <w:rsid w:val="00852118"/>
    <w:rsid w:val="00853AFD"/>
    <w:rsid w:val="00855221"/>
    <w:rsid w:val="008601D5"/>
    <w:rsid w:val="00864106"/>
    <w:rsid w:val="008666DA"/>
    <w:rsid w:val="00875022"/>
    <w:rsid w:val="00875A67"/>
    <w:rsid w:val="00875CF7"/>
    <w:rsid w:val="008856FF"/>
    <w:rsid w:val="00887AFD"/>
    <w:rsid w:val="00897CAD"/>
    <w:rsid w:val="008A2249"/>
    <w:rsid w:val="008A4D44"/>
    <w:rsid w:val="008C06C3"/>
    <w:rsid w:val="008C10C3"/>
    <w:rsid w:val="008D1C28"/>
    <w:rsid w:val="008D3E8F"/>
    <w:rsid w:val="008D6260"/>
    <w:rsid w:val="008E12C3"/>
    <w:rsid w:val="008E1E91"/>
    <w:rsid w:val="008E257F"/>
    <w:rsid w:val="008E2B1A"/>
    <w:rsid w:val="008E5283"/>
    <w:rsid w:val="008F2E1E"/>
    <w:rsid w:val="008F30BC"/>
    <w:rsid w:val="008F38F3"/>
    <w:rsid w:val="008F5C8F"/>
    <w:rsid w:val="008F7279"/>
    <w:rsid w:val="00900FEB"/>
    <w:rsid w:val="00900FF3"/>
    <w:rsid w:val="009015E1"/>
    <w:rsid w:val="009038D8"/>
    <w:rsid w:val="00903FBF"/>
    <w:rsid w:val="0090583F"/>
    <w:rsid w:val="00920ABB"/>
    <w:rsid w:val="0092626E"/>
    <w:rsid w:val="00927211"/>
    <w:rsid w:val="00927B70"/>
    <w:rsid w:val="00942019"/>
    <w:rsid w:val="00946013"/>
    <w:rsid w:val="00952556"/>
    <w:rsid w:val="00962101"/>
    <w:rsid w:val="00963A97"/>
    <w:rsid w:val="0097036B"/>
    <w:rsid w:val="0097412D"/>
    <w:rsid w:val="00981AA7"/>
    <w:rsid w:val="009862F2"/>
    <w:rsid w:val="0099130D"/>
    <w:rsid w:val="00995491"/>
    <w:rsid w:val="00996E18"/>
    <w:rsid w:val="009B11D7"/>
    <w:rsid w:val="009B144D"/>
    <w:rsid w:val="009B3B3A"/>
    <w:rsid w:val="009B52DB"/>
    <w:rsid w:val="009B6792"/>
    <w:rsid w:val="009C2634"/>
    <w:rsid w:val="009D035A"/>
    <w:rsid w:val="009D5000"/>
    <w:rsid w:val="009E24F9"/>
    <w:rsid w:val="009E4DA2"/>
    <w:rsid w:val="009F40CD"/>
    <w:rsid w:val="009F5F10"/>
    <w:rsid w:val="00A067F7"/>
    <w:rsid w:val="00A12781"/>
    <w:rsid w:val="00A14A90"/>
    <w:rsid w:val="00A14D2C"/>
    <w:rsid w:val="00A17203"/>
    <w:rsid w:val="00A17E75"/>
    <w:rsid w:val="00A21953"/>
    <w:rsid w:val="00A2292A"/>
    <w:rsid w:val="00A23C89"/>
    <w:rsid w:val="00A2648D"/>
    <w:rsid w:val="00A31151"/>
    <w:rsid w:val="00A354FD"/>
    <w:rsid w:val="00A35A47"/>
    <w:rsid w:val="00A4172D"/>
    <w:rsid w:val="00A4633A"/>
    <w:rsid w:val="00A4722D"/>
    <w:rsid w:val="00A509C5"/>
    <w:rsid w:val="00A51D5E"/>
    <w:rsid w:val="00A557BE"/>
    <w:rsid w:val="00A6120B"/>
    <w:rsid w:val="00A65BF8"/>
    <w:rsid w:val="00A71C80"/>
    <w:rsid w:val="00A729BB"/>
    <w:rsid w:val="00A814D7"/>
    <w:rsid w:val="00A90F96"/>
    <w:rsid w:val="00A959AB"/>
    <w:rsid w:val="00AA4808"/>
    <w:rsid w:val="00AA62FF"/>
    <w:rsid w:val="00AB1046"/>
    <w:rsid w:val="00AB1589"/>
    <w:rsid w:val="00AD42B3"/>
    <w:rsid w:val="00AD4A69"/>
    <w:rsid w:val="00AD504B"/>
    <w:rsid w:val="00AD7108"/>
    <w:rsid w:val="00AE2E79"/>
    <w:rsid w:val="00AF00E9"/>
    <w:rsid w:val="00AF115D"/>
    <w:rsid w:val="00AF5B52"/>
    <w:rsid w:val="00B036A9"/>
    <w:rsid w:val="00B044B7"/>
    <w:rsid w:val="00B05CB1"/>
    <w:rsid w:val="00B06892"/>
    <w:rsid w:val="00B06FDF"/>
    <w:rsid w:val="00B07EF1"/>
    <w:rsid w:val="00B10630"/>
    <w:rsid w:val="00B10A95"/>
    <w:rsid w:val="00B12926"/>
    <w:rsid w:val="00B14F17"/>
    <w:rsid w:val="00B20311"/>
    <w:rsid w:val="00B21E98"/>
    <w:rsid w:val="00B220B3"/>
    <w:rsid w:val="00B22D27"/>
    <w:rsid w:val="00B304CC"/>
    <w:rsid w:val="00B306DB"/>
    <w:rsid w:val="00B31949"/>
    <w:rsid w:val="00B35842"/>
    <w:rsid w:val="00B376AA"/>
    <w:rsid w:val="00B413AA"/>
    <w:rsid w:val="00B43B32"/>
    <w:rsid w:val="00B46E97"/>
    <w:rsid w:val="00B51499"/>
    <w:rsid w:val="00B557D1"/>
    <w:rsid w:val="00B611E1"/>
    <w:rsid w:val="00B635BA"/>
    <w:rsid w:val="00B640FE"/>
    <w:rsid w:val="00B64D41"/>
    <w:rsid w:val="00B67B52"/>
    <w:rsid w:val="00B72CB0"/>
    <w:rsid w:val="00B765A2"/>
    <w:rsid w:val="00B81941"/>
    <w:rsid w:val="00B87080"/>
    <w:rsid w:val="00B876F8"/>
    <w:rsid w:val="00B9332A"/>
    <w:rsid w:val="00B936F8"/>
    <w:rsid w:val="00B94F77"/>
    <w:rsid w:val="00BA13FA"/>
    <w:rsid w:val="00BA1CFF"/>
    <w:rsid w:val="00BA5347"/>
    <w:rsid w:val="00BA60F8"/>
    <w:rsid w:val="00BB43F5"/>
    <w:rsid w:val="00BC32DA"/>
    <w:rsid w:val="00BD4E8B"/>
    <w:rsid w:val="00BE0112"/>
    <w:rsid w:val="00BE2C5C"/>
    <w:rsid w:val="00BE40A1"/>
    <w:rsid w:val="00BE6B85"/>
    <w:rsid w:val="00C02A2B"/>
    <w:rsid w:val="00C06012"/>
    <w:rsid w:val="00C155EF"/>
    <w:rsid w:val="00C15EB3"/>
    <w:rsid w:val="00C23125"/>
    <w:rsid w:val="00C3348D"/>
    <w:rsid w:val="00C40DA9"/>
    <w:rsid w:val="00C424BD"/>
    <w:rsid w:val="00C50993"/>
    <w:rsid w:val="00C54BD2"/>
    <w:rsid w:val="00C5594C"/>
    <w:rsid w:val="00C563A4"/>
    <w:rsid w:val="00C61533"/>
    <w:rsid w:val="00C625B8"/>
    <w:rsid w:val="00C662AC"/>
    <w:rsid w:val="00C66A5D"/>
    <w:rsid w:val="00C72441"/>
    <w:rsid w:val="00C74959"/>
    <w:rsid w:val="00C74FA8"/>
    <w:rsid w:val="00C77D70"/>
    <w:rsid w:val="00C921A7"/>
    <w:rsid w:val="00C92773"/>
    <w:rsid w:val="00C95D77"/>
    <w:rsid w:val="00CC2BAE"/>
    <w:rsid w:val="00CC3C56"/>
    <w:rsid w:val="00CD3EB3"/>
    <w:rsid w:val="00CD563D"/>
    <w:rsid w:val="00CD7837"/>
    <w:rsid w:val="00CE001C"/>
    <w:rsid w:val="00CE3122"/>
    <w:rsid w:val="00CE4993"/>
    <w:rsid w:val="00CF1B20"/>
    <w:rsid w:val="00CF42AC"/>
    <w:rsid w:val="00CF7C46"/>
    <w:rsid w:val="00D10AC3"/>
    <w:rsid w:val="00D11DD8"/>
    <w:rsid w:val="00D12B20"/>
    <w:rsid w:val="00D13BE3"/>
    <w:rsid w:val="00D15700"/>
    <w:rsid w:val="00D25298"/>
    <w:rsid w:val="00D26593"/>
    <w:rsid w:val="00D271CC"/>
    <w:rsid w:val="00D30985"/>
    <w:rsid w:val="00D32ECE"/>
    <w:rsid w:val="00D349D8"/>
    <w:rsid w:val="00D35B4C"/>
    <w:rsid w:val="00D41E34"/>
    <w:rsid w:val="00D601B8"/>
    <w:rsid w:val="00D60FF6"/>
    <w:rsid w:val="00D665FC"/>
    <w:rsid w:val="00D66982"/>
    <w:rsid w:val="00D754E6"/>
    <w:rsid w:val="00D845C7"/>
    <w:rsid w:val="00D86FAE"/>
    <w:rsid w:val="00D87DC9"/>
    <w:rsid w:val="00D93C4D"/>
    <w:rsid w:val="00D962A0"/>
    <w:rsid w:val="00DA0690"/>
    <w:rsid w:val="00DA339F"/>
    <w:rsid w:val="00DA375E"/>
    <w:rsid w:val="00DA6B22"/>
    <w:rsid w:val="00DA79EB"/>
    <w:rsid w:val="00DB5634"/>
    <w:rsid w:val="00DC03FA"/>
    <w:rsid w:val="00DC147E"/>
    <w:rsid w:val="00DC232B"/>
    <w:rsid w:val="00DC3A5E"/>
    <w:rsid w:val="00DC3B75"/>
    <w:rsid w:val="00DC3B7C"/>
    <w:rsid w:val="00DC628E"/>
    <w:rsid w:val="00DC715C"/>
    <w:rsid w:val="00DC7D0F"/>
    <w:rsid w:val="00DD03CA"/>
    <w:rsid w:val="00DD0B81"/>
    <w:rsid w:val="00DD317F"/>
    <w:rsid w:val="00DD3868"/>
    <w:rsid w:val="00DE0C3D"/>
    <w:rsid w:val="00DE1451"/>
    <w:rsid w:val="00DE3F88"/>
    <w:rsid w:val="00DE41DE"/>
    <w:rsid w:val="00DE4E19"/>
    <w:rsid w:val="00DE4EB7"/>
    <w:rsid w:val="00DE58DF"/>
    <w:rsid w:val="00DE5BFA"/>
    <w:rsid w:val="00DF2252"/>
    <w:rsid w:val="00DF2973"/>
    <w:rsid w:val="00DF3F66"/>
    <w:rsid w:val="00DF476F"/>
    <w:rsid w:val="00E06808"/>
    <w:rsid w:val="00E137EC"/>
    <w:rsid w:val="00E170C4"/>
    <w:rsid w:val="00E17642"/>
    <w:rsid w:val="00E20CF1"/>
    <w:rsid w:val="00E23705"/>
    <w:rsid w:val="00E36A4F"/>
    <w:rsid w:val="00E3785F"/>
    <w:rsid w:val="00E40450"/>
    <w:rsid w:val="00E46AFF"/>
    <w:rsid w:val="00E544E5"/>
    <w:rsid w:val="00E567A9"/>
    <w:rsid w:val="00E57544"/>
    <w:rsid w:val="00E57CB5"/>
    <w:rsid w:val="00E615FB"/>
    <w:rsid w:val="00E63D11"/>
    <w:rsid w:val="00E74ACC"/>
    <w:rsid w:val="00E765F5"/>
    <w:rsid w:val="00E76D12"/>
    <w:rsid w:val="00E83614"/>
    <w:rsid w:val="00E90883"/>
    <w:rsid w:val="00E9214C"/>
    <w:rsid w:val="00E958C7"/>
    <w:rsid w:val="00E96056"/>
    <w:rsid w:val="00EA1062"/>
    <w:rsid w:val="00EA4E31"/>
    <w:rsid w:val="00EC08C5"/>
    <w:rsid w:val="00EC0A2F"/>
    <w:rsid w:val="00EC22BE"/>
    <w:rsid w:val="00EC5E90"/>
    <w:rsid w:val="00EC6393"/>
    <w:rsid w:val="00ED003F"/>
    <w:rsid w:val="00ED0A64"/>
    <w:rsid w:val="00ED0DF6"/>
    <w:rsid w:val="00ED2030"/>
    <w:rsid w:val="00ED416D"/>
    <w:rsid w:val="00EE0611"/>
    <w:rsid w:val="00EE469F"/>
    <w:rsid w:val="00EE6036"/>
    <w:rsid w:val="00EE6223"/>
    <w:rsid w:val="00EF128F"/>
    <w:rsid w:val="00EF4FA9"/>
    <w:rsid w:val="00F00824"/>
    <w:rsid w:val="00F03F63"/>
    <w:rsid w:val="00F10707"/>
    <w:rsid w:val="00F135A8"/>
    <w:rsid w:val="00F25F6E"/>
    <w:rsid w:val="00F31169"/>
    <w:rsid w:val="00F315F5"/>
    <w:rsid w:val="00F32D4F"/>
    <w:rsid w:val="00F34C40"/>
    <w:rsid w:val="00F35449"/>
    <w:rsid w:val="00F3592F"/>
    <w:rsid w:val="00F42626"/>
    <w:rsid w:val="00F42CCB"/>
    <w:rsid w:val="00F46732"/>
    <w:rsid w:val="00F64D45"/>
    <w:rsid w:val="00F71EF2"/>
    <w:rsid w:val="00F74564"/>
    <w:rsid w:val="00F819ED"/>
    <w:rsid w:val="00F830AB"/>
    <w:rsid w:val="00F94871"/>
    <w:rsid w:val="00FA5E74"/>
    <w:rsid w:val="00FB3911"/>
    <w:rsid w:val="00FB5009"/>
    <w:rsid w:val="00FB55B0"/>
    <w:rsid w:val="00FC036A"/>
    <w:rsid w:val="00FC1CB6"/>
    <w:rsid w:val="00FC5BE9"/>
    <w:rsid w:val="00FD36B0"/>
    <w:rsid w:val="00FE0175"/>
    <w:rsid w:val="00FE2A1D"/>
    <w:rsid w:val="00FE77D1"/>
    <w:rsid w:val="00FF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501CD18-6701-48AB-83BE-ABA4F283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0D"/>
    <w:pPr>
      <w:widowControl w:val="0"/>
    </w:pPr>
    <w:rPr>
      <w:snapToGrid w:val="0"/>
      <w:sz w:val="24"/>
    </w:rPr>
  </w:style>
  <w:style w:type="paragraph" w:styleId="Heading1">
    <w:name w:val="heading 1"/>
    <w:basedOn w:val="Normal"/>
    <w:next w:val="Normal"/>
    <w:qFormat/>
    <w:rsid w:val="00E90883"/>
    <w:pPr>
      <w:keepNext/>
      <w:jc w:val="both"/>
      <w:outlineLvl w:val="0"/>
    </w:pPr>
    <w:rPr>
      <w:b/>
    </w:rPr>
  </w:style>
  <w:style w:type="paragraph" w:styleId="Heading2">
    <w:name w:val="heading 2"/>
    <w:basedOn w:val="Normal"/>
    <w:next w:val="Normal"/>
    <w:qFormat/>
    <w:rsid w:val="00E90883"/>
    <w:pPr>
      <w:keepNext/>
      <w:jc w:val="both"/>
      <w:outlineLvl w:val="1"/>
    </w:pPr>
    <w:rPr>
      <w:b/>
      <w:bCs/>
      <w:color w:val="000000"/>
      <w:u w:val="single"/>
    </w:rPr>
  </w:style>
  <w:style w:type="paragraph" w:styleId="Heading3">
    <w:name w:val="heading 3"/>
    <w:basedOn w:val="Normal"/>
    <w:next w:val="Normal"/>
    <w:qFormat/>
    <w:rsid w:val="00E90883"/>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30D"/>
  </w:style>
  <w:style w:type="paragraph" w:customStyle="1" w:styleId="Level1">
    <w:name w:val="Level 1"/>
    <w:basedOn w:val="Normal"/>
    <w:rsid w:val="0099130D"/>
    <w:pPr>
      <w:numPr>
        <w:numId w:val="1"/>
      </w:numPr>
      <w:ind w:left="720" w:hanging="720"/>
      <w:outlineLvl w:val="0"/>
    </w:pPr>
  </w:style>
  <w:style w:type="paragraph" w:styleId="Header">
    <w:name w:val="header"/>
    <w:basedOn w:val="Normal"/>
    <w:rsid w:val="0099130D"/>
    <w:pPr>
      <w:tabs>
        <w:tab w:val="center" w:pos="4320"/>
        <w:tab w:val="right" w:pos="8640"/>
      </w:tabs>
    </w:pPr>
  </w:style>
  <w:style w:type="paragraph" w:styleId="Footer">
    <w:name w:val="footer"/>
    <w:basedOn w:val="Normal"/>
    <w:rsid w:val="0099130D"/>
    <w:pPr>
      <w:tabs>
        <w:tab w:val="center" w:pos="4320"/>
        <w:tab w:val="right" w:pos="8640"/>
      </w:tabs>
    </w:pPr>
  </w:style>
  <w:style w:type="character" w:styleId="PageNumber">
    <w:name w:val="page number"/>
    <w:basedOn w:val="DefaultParagraphFont"/>
    <w:rsid w:val="0099130D"/>
  </w:style>
  <w:style w:type="character" w:styleId="CommentReference">
    <w:name w:val="annotation reference"/>
    <w:basedOn w:val="DefaultParagraphFont"/>
    <w:semiHidden/>
    <w:rsid w:val="0099130D"/>
    <w:rPr>
      <w:sz w:val="16"/>
      <w:szCs w:val="16"/>
    </w:rPr>
  </w:style>
  <w:style w:type="paragraph" w:styleId="CommentText">
    <w:name w:val="annotation text"/>
    <w:basedOn w:val="Normal"/>
    <w:semiHidden/>
    <w:rsid w:val="0099130D"/>
    <w:rPr>
      <w:sz w:val="20"/>
    </w:rPr>
  </w:style>
  <w:style w:type="paragraph" w:styleId="CommentSubject">
    <w:name w:val="annotation subject"/>
    <w:basedOn w:val="CommentText"/>
    <w:next w:val="CommentText"/>
    <w:semiHidden/>
    <w:rsid w:val="0099130D"/>
    <w:rPr>
      <w:b/>
      <w:bCs/>
    </w:rPr>
  </w:style>
  <w:style w:type="paragraph" w:styleId="BalloonText">
    <w:name w:val="Balloon Text"/>
    <w:basedOn w:val="Normal"/>
    <w:semiHidden/>
    <w:rsid w:val="0099130D"/>
    <w:rPr>
      <w:rFonts w:ascii="Tahoma" w:hAnsi="Tahoma" w:cs="Tahoma"/>
      <w:sz w:val="16"/>
      <w:szCs w:val="16"/>
    </w:rPr>
  </w:style>
  <w:style w:type="paragraph" w:customStyle="1" w:styleId="level10">
    <w:name w:val="level1"/>
    <w:basedOn w:val="Normal"/>
    <w:rsid w:val="0099130D"/>
    <w:pPr>
      <w:widowControl/>
      <w:spacing w:before="100" w:beforeAutospacing="1" w:after="100" w:afterAutospacing="1"/>
    </w:pPr>
    <w:rPr>
      <w:snapToGrid/>
      <w:szCs w:val="24"/>
    </w:rPr>
  </w:style>
  <w:style w:type="table" w:styleId="TableGrid">
    <w:name w:val="Table Grid"/>
    <w:basedOn w:val="TableNormal"/>
    <w:rsid w:val="00C563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2ECE"/>
    <w:rPr>
      <w:color w:val="0000FF"/>
      <w:u w:val="single"/>
    </w:rPr>
  </w:style>
  <w:style w:type="paragraph" w:styleId="NormalWeb">
    <w:name w:val="Normal (Web)"/>
    <w:basedOn w:val="Normal"/>
    <w:uiPriority w:val="99"/>
    <w:rsid w:val="00D32ECE"/>
    <w:pPr>
      <w:widowControl/>
      <w:spacing w:before="100" w:beforeAutospacing="1" w:after="100" w:afterAutospacing="1"/>
    </w:pPr>
    <w:rPr>
      <w:rFonts w:ascii="Trebuchet MS" w:hAnsi="Trebuchet MS"/>
      <w:snapToGrid/>
      <w:color w:val="000080"/>
      <w:sz w:val="20"/>
    </w:rPr>
  </w:style>
  <w:style w:type="paragraph" w:styleId="ListParagraph">
    <w:name w:val="List Paragraph"/>
    <w:basedOn w:val="Normal"/>
    <w:uiPriority w:val="34"/>
    <w:qFormat/>
    <w:rsid w:val="00D15700"/>
    <w:pPr>
      <w:widowControl/>
      <w:spacing w:after="200" w:line="276" w:lineRule="auto"/>
      <w:ind w:left="720"/>
      <w:contextualSpacing/>
    </w:pPr>
    <w:rPr>
      <w:rFonts w:ascii="Calibri" w:eastAsia="Calibri" w:hAnsi="Calibri"/>
      <w:snapToGrid/>
      <w:sz w:val="22"/>
      <w:szCs w:val="22"/>
    </w:rPr>
  </w:style>
  <w:style w:type="paragraph" w:customStyle="1" w:styleId="body">
    <w:name w:val="body"/>
    <w:basedOn w:val="Normal"/>
    <w:rsid w:val="00E90883"/>
    <w:pPr>
      <w:widowControl/>
      <w:spacing w:before="150"/>
      <w:ind w:left="75" w:right="75" w:firstLine="150"/>
      <w:textAlignment w:val="top"/>
    </w:pPr>
    <w:rPr>
      <w:rFonts w:ascii="Arial Unicode MS" w:eastAsia="Arial Unicode MS" w:hAnsi="Arial Unicode MS" w:cs="Arial Unicode MS"/>
      <w:snapToGrid/>
      <w:sz w:val="18"/>
      <w:szCs w:val="18"/>
    </w:rPr>
  </w:style>
  <w:style w:type="paragraph" w:styleId="BodyText2">
    <w:name w:val="Body Text 2"/>
    <w:basedOn w:val="Normal"/>
    <w:rsid w:val="00E90883"/>
    <w:pPr>
      <w:jc w:val="center"/>
    </w:pPr>
    <w:rPr>
      <w:b/>
      <w:bCs/>
    </w:rPr>
  </w:style>
  <w:style w:type="paragraph" w:styleId="BodyText">
    <w:name w:val="Body Text"/>
    <w:basedOn w:val="Normal"/>
    <w:link w:val="BodyTextChar"/>
    <w:rsid w:val="00DE1451"/>
    <w:pPr>
      <w:spacing w:after="120"/>
    </w:pPr>
  </w:style>
  <w:style w:type="character" w:customStyle="1" w:styleId="BodyTextChar">
    <w:name w:val="Body Text Char"/>
    <w:basedOn w:val="DefaultParagraphFont"/>
    <w:link w:val="BodyText"/>
    <w:rsid w:val="00DE145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92">
      <w:bodyDiv w:val="1"/>
      <w:marLeft w:val="0"/>
      <w:marRight w:val="0"/>
      <w:marTop w:val="0"/>
      <w:marBottom w:val="0"/>
      <w:divBdr>
        <w:top w:val="none" w:sz="0" w:space="0" w:color="auto"/>
        <w:left w:val="none" w:sz="0" w:space="0" w:color="auto"/>
        <w:bottom w:val="none" w:sz="0" w:space="0" w:color="auto"/>
        <w:right w:val="none" w:sz="0" w:space="0" w:color="auto"/>
      </w:divBdr>
    </w:div>
    <w:div w:id="45759178">
      <w:bodyDiv w:val="1"/>
      <w:marLeft w:val="0"/>
      <w:marRight w:val="0"/>
      <w:marTop w:val="0"/>
      <w:marBottom w:val="0"/>
      <w:divBdr>
        <w:top w:val="none" w:sz="0" w:space="0" w:color="auto"/>
        <w:left w:val="none" w:sz="0" w:space="0" w:color="auto"/>
        <w:bottom w:val="none" w:sz="0" w:space="0" w:color="auto"/>
        <w:right w:val="none" w:sz="0" w:space="0" w:color="auto"/>
      </w:divBdr>
    </w:div>
    <w:div w:id="163319757">
      <w:bodyDiv w:val="1"/>
      <w:marLeft w:val="0"/>
      <w:marRight w:val="0"/>
      <w:marTop w:val="0"/>
      <w:marBottom w:val="0"/>
      <w:divBdr>
        <w:top w:val="none" w:sz="0" w:space="0" w:color="auto"/>
        <w:left w:val="none" w:sz="0" w:space="0" w:color="auto"/>
        <w:bottom w:val="none" w:sz="0" w:space="0" w:color="auto"/>
        <w:right w:val="none" w:sz="0" w:space="0" w:color="auto"/>
      </w:divBdr>
    </w:div>
    <w:div w:id="171459535">
      <w:bodyDiv w:val="1"/>
      <w:marLeft w:val="0"/>
      <w:marRight w:val="0"/>
      <w:marTop w:val="0"/>
      <w:marBottom w:val="0"/>
      <w:divBdr>
        <w:top w:val="none" w:sz="0" w:space="0" w:color="auto"/>
        <w:left w:val="none" w:sz="0" w:space="0" w:color="auto"/>
        <w:bottom w:val="none" w:sz="0" w:space="0" w:color="auto"/>
        <w:right w:val="none" w:sz="0" w:space="0" w:color="auto"/>
      </w:divBdr>
    </w:div>
    <w:div w:id="323823133">
      <w:bodyDiv w:val="1"/>
      <w:marLeft w:val="0"/>
      <w:marRight w:val="0"/>
      <w:marTop w:val="0"/>
      <w:marBottom w:val="0"/>
      <w:divBdr>
        <w:top w:val="none" w:sz="0" w:space="0" w:color="auto"/>
        <w:left w:val="none" w:sz="0" w:space="0" w:color="auto"/>
        <w:bottom w:val="none" w:sz="0" w:space="0" w:color="auto"/>
        <w:right w:val="none" w:sz="0" w:space="0" w:color="auto"/>
      </w:divBdr>
    </w:div>
    <w:div w:id="331491208">
      <w:bodyDiv w:val="1"/>
      <w:marLeft w:val="0"/>
      <w:marRight w:val="0"/>
      <w:marTop w:val="0"/>
      <w:marBottom w:val="0"/>
      <w:divBdr>
        <w:top w:val="none" w:sz="0" w:space="0" w:color="auto"/>
        <w:left w:val="none" w:sz="0" w:space="0" w:color="auto"/>
        <w:bottom w:val="none" w:sz="0" w:space="0" w:color="auto"/>
        <w:right w:val="none" w:sz="0" w:space="0" w:color="auto"/>
      </w:divBdr>
    </w:div>
    <w:div w:id="531892033">
      <w:bodyDiv w:val="1"/>
      <w:marLeft w:val="0"/>
      <w:marRight w:val="0"/>
      <w:marTop w:val="0"/>
      <w:marBottom w:val="0"/>
      <w:divBdr>
        <w:top w:val="none" w:sz="0" w:space="0" w:color="auto"/>
        <w:left w:val="none" w:sz="0" w:space="0" w:color="auto"/>
        <w:bottom w:val="none" w:sz="0" w:space="0" w:color="auto"/>
        <w:right w:val="none" w:sz="0" w:space="0" w:color="auto"/>
      </w:divBdr>
    </w:div>
    <w:div w:id="664473303">
      <w:bodyDiv w:val="1"/>
      <w:marLeft w:val="0"/>
      <w:marRight w:val="0"/>
      <w:marTop w:val="0"/>
      <w:marBottom w:val="0"/>
      <w:divBdr>
        <w:top w:val="none" w:sz="0" w:space="0" w:color="auto"/>
        <w:left w:val="none" w:sz="0" w:space="0" w:color="auto"/>
        <w:bottom w:val="none" w:sz="0" w:space="0" w:color="auto"/>
        <w:right w:val="none" w:sz="0" w:space="0" w:color="auto"/>
      </w:divBdr>
    </w:div>
    <w:div w:id="852452590">
      <w:bodyDiv w:val="1"/>
      <w:marLeft w:val="0"/>
      <w:marRight w:val="0"/>
      <w:marTop w:val="0"/>
      <w:marBottom w:val="0"/>
      <w:divBdr>
        <w:top w:val="none" w:sz="0" w:space="0" w:color="auto"/>
        <w:left w:val="none" w:sz="0" w:space="0" w:color="auto"/>
        <w:bottom w:val="none" w:sz="0" w:space="0" w:color="auto"/>
        <w:right w:val="none" w:sz="0" w:space="0" w:color="auto"/>
      </w:divBdr>
    </w:div>
    <w:div w:id="855929096">
      <w:bodyDiv w:val="1"/>
      <w:marLeft w:val="0"/>
      <w:marRight w:val="0"/>
      <w:marTop w:val="0"/>
      <w:marBottom w:val="0"/>
      <w:divBdr>
        <w:top w:val="none" w:sz="0" w:space="0" w:color="auto"/>
        <w:left w:val="none" w:sz="0" w:space="0" w:color="auto"/>
        <w:bottom w:val="none" w:sz="0" w:space="0" w:color="auto"/>
        <w:right w:val="none" w:sz="0" w:space="0" w:color="auto"/>
      </w:divBdr>
    </w:div>
    <w:div w:id="1094862940">
      <w:bodyDiv w:val="1"/>
      <w:marLeft w:val="0"/>
      <w:marRight w:val="0"/>
      <w:marTop w:val="0"/>
      <w:marBottom w:val="0"/>
      <w:divBdr>
        <w:top w:val="none" w:sz="0" w:space="0" w:color="auto"/>
        <w:left w:val="none" w:sz="0" w:space="0" w:color="auto"/>
        <w:bottom w:val="none" w:sz="0" w:space="0" w:color="auto"/>
        <w:right w:val="none" w:sz="0" w:space="0" w:color="auto"/>
      </w:divBdr>
    </w:div>
    <w:div w:id="1138844408">
      <w:bodyDiv w:val="1"/>
      <w:marLeft w:val="0"/>
      <w:marRight w:val="0"/>
      <w:marTop w:val="0"/>
      <w:marBottom w:val="0"/>
      <w:divBdr>
        <w:top w:val="none" w:sz="0" w:space="0" w:color="auto"/>
        <w:left w:val="none" w:sz="0" w:space="0" w:color="auto"/>
        <w:bottom w:val="none" w:sz="0" w:space="0" w:color="auto"/>
        <w:right w:val="none" w:sz="0" w:space="0" w:color="auto"/>
      </w:divBdr>
    </w:div>
    <w:div w:id="1176309460">
      <w:bodyDiv w:val="1"/>
      <w:marLeft w:val="0"/>
      <w:marRight w:val="0"/>
      <w:marTop w:val="0"/>
      <w:marBottom w:val="0"/>
      <w:divBdr>
        <w:top w:val="none" w:sz="0" w:space="0" w:color="auto"/>
        <w:left w:val="none" w:sz="0" w:space="0" w:color="auto"/>
        <w:bottom w:val="none" w:sz="0" w:space="0" w:color="auto"/>
        <w:right w:val="none" w:sz="0" w:space="0" w:color="auto"/>
      </w:divBdr>
    </w:div>
    <w:div w:id="1536650105">
      <w:bodyDiv w:val="1"/>
      <w:marLeft w:val="0"/>
      <w:marRight w:val="0"/>
      <w:marTop w:val="0"/>
      <w:marBottom w:val="0"/>
      <w:divBdr>
        <w:top w:val="none" w:sz="0" w:space="0" w:color="auto"/>
        <w:left w:val="none" w:sz="0" w:space="0" w:color="auto"/>
        <w:bottom w:val="none" w:sz="0" w:space="0" w:color="auto"/>
        <w:right w:val="none" w:sz="0" w:space="0" w:color="auto"/>
      </w:divBdr>
    </w:div>
    <w:div w:id="1562515641">
      <w:bodyDiv w:val="1"/>
      <w:marLeft w:val="0"/>
      <w:marRight w:val="0"/>
      <w:marTop w:val="0"/>
      <w:marBottom w:val="0"/>
      <w:divBdr>
        <w:top w:val="none" w:sz="0" w:space="0" w:color="auto"/>
        <w:left w:val="none" w:sz="0" w:space="0" w:color="auto"/>
        <w:bottom w:val="none" w:sz="0" w:space="0" w:color="auto"/>
        <w:right w:val="none" w:sz="0" w:space="0" w:color="auto"/>
      </w:divBdr>
    </w:div>
    <w:div w:id="1649244111">
      <w:bodyDiv w:val="1"/>
      <w:marLeft w:val="0"/>
      <w:marRight w:val="0"/>
      <w:marTop w:val="0"/>
      <w:marBottom w:val="0"/>
      <w:divBdr>
        <w:top w:val="none" w:sz="0" w:space="0" w:color="auto"/>
        <w:left w:val="none" w:sz="0" w:space="0" w:color="auto"/>
        <w:bottom w:val="none" w:sz="0" w:space="0" w:color="auto"/>
        <w:right w:val="none" w:sz="0" w:space="0" w:color="auto"/>
      </w:divBdr>
    </w:div>
    <w:div w:id="1682856947">
      <w:bodyDiv w:val="1"/>
      <w:marLeft w:val="0"/>
      <w:marRight w:val="0"/>
      <w:marTop w:val="0"/>
      <w:marBottom w:val="0"/>
      <w:divBdr>
        <w:top w:val="none" w:sz="0" w:space="0" w:color="auto"/>
        <w:left w:val="none" w:sz="0" w:space="0" w:color="auto"/>
        <w:bottom w:val="none" w:sz="0" w:space="0" w:color="auto"/>
        <w:right w:val="none" w:sz="0" w:space="0" w:color="auto"/>
      </w:divBdr>
    </w:div>
    <w:div w:id="1871794109">
      <w:bodyDiv w:val="1"/>
      <w:marLeft w:val="0"/>
      <w:marRight w:val="0"/>
      <w:marTop w:val="0"/>
      <w:marBottom w:val="0"/>
      <w:divBdr>
        <w:top w:val="none" w:sz="0" w:space="0" w:color="auto"/>
        <w:left w:val="none" w:sz="0" w:space="0" w:color="auto"/>
        <w:bottom w:val="none" w:sz="0" w:space="0" w:color="auto"/>
        <w:right w:val="none" w:sz="0" w:space="0" w:color="auto"/>
      </w:divBdr>
    </w:div>
    <w:div w:id="1897471031">
      <w:bodyDiv w:val="1"/>
      <w:marLeft w:val="0"/>
      <w:marRight w:val="0"/>
      <w:marTop w:val="0"/>
      <w:marBottom w:val="0"/>
      <w:divBdr>
        <w:top w:val="none" w:sz="0" w:space="0" w:color="auto"/>
        <w:left w:val="none" w:sz="0" w:space="0" w:color="auto"/>
        <w:bottom w:val="none" w:sz="0" w:space="0" w:color="auto"/>
        <w:right w:val="none" w:sz="0" w:space="0" w:color="auto"/>
      </w:divBdr>
    </w:div>
    <w:div w:id="1983580996">
      <w:bodyDiv w:val="1"/>
      <w:marLeft w:val="0"/>
      <w:marRight w:val="0"/>
      <w:marTop w:val="0"/>
      <w:marBottom w:val="0"/>
      <w:divBdr>
        <w:top w:val="none" w:sz="0" w:space="0" w:color="auto"/>
        <w:left w:val="none" w:sz="0" w:space="0" w:color="auto"/>
        <w:bottom w:val="none" w:sz="0" w:space="0" w:color="auto"/>
        <w:right w:val="none" w:sz="0" w:space="0" w:color="auto"/>
      </w:divBdr>
    </w:div>
    <w:div w:id="2033804125">
      <w:bodyDiv w:val="1"/>
      <w:marLeft w:val="0"/>
      <w:marRight w:val="0"/>
      <w:marTop w:val="0"/>
      <w:marBottom w:val="0"/>
      <w:divBdr>
        <w:top w:val="none" w:sz="0" w:space="0" w:color="auto"/>
        <w:left w:val="none" w:sz="0" w:space="0" w:color="auto"/>
        <w:bottom w:val="none" w:sz="0" w:space="0" w:color="auto"/>
        <w:right w:val="none" w:sz="0" w:space="0" w:color="auto"/>
      </w:divBdr>
    </w:div>
    <w:div w:id="2064088718">
      <w:bodyDiv w:val="1"/>
      <w:marLeft w:val="0"/>
      <w:marRight w:val="0"/>
      <w:marTop w:val="0"/>
      <w:marBottom w:val="0"/>
      <w:divBdr>
        <w:top w:val="none" w:sz="0" w:space="0" w:color="auto"/>
        <w:left w:val="none" w:sz="0" w:space="0" w:color="auto"/>
        <w:bottom w:val="none" w:sz="0" w:space="0" w:color="auto"/>
        <w:right w:val="none" w:sz="0" w:space="0" w:color="auto"/>
      </w:divBdr>
    </w:div>
    <w:div w:id="2110924001">
      <w:bodyDiv w:val="1"/>
      <w:marLeft w:val="0"/>
      <w:marRight w:val="0"/>
      <w:marTop w:val="0"/>
      <w:marBottom w:val="0"/>
      <w:divBdr>
        <w:top w:val="none" w:sz="0" w:space="0" w:color="auto"/>
        <w:left w:val="none" w:sz="0" w:space="0" w:color="auto"/>
        <w:bottom w:val="none" w:sz="0" w:space="0" w:color="auto"/>
        <w:right w:val="none" w:sz="0" w:space="0" w:color="auto"/>
      </w:divBdr>
    </w:div>
    <w:div w:id="2117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8CFB-0A2B-4821-8184-67F69398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6393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County</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creator>Leon</dc:creator>
  <dc:description>In order for the template to work properly you must save it to: C:\documents and settings\user\application data\microsoft\templates. Then click from FILE...New. Click on General Templates and the Agenda Request shoul dbe there to create a</dc:description>
  <cp:lastModifiedBy>Jessica Welch</cp:lastModifiedBy>
  <cp:revision>2</cp:revision>
  <cp:lastPrinted>2015-07-22T15:20:00Z</cp:lastPrinted>
  <dcterms:created xsi:type="dcterms:W3CDTF">2015-07-24T16:41:00Z</dcterms:created>
  <dcterms:modified xsi:type="dcterms:W3CDTF">2015-07-24T16:41:00Z</dcterms:modified>
</cp:coreProperties>
</file>